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87A69" w14:textId="4B7BC68A" w:rsidR="00994335" w:rsidRDefault="002D7287" w:rsidP="004B6554">
      <w:pPr>
        <w:pStyle w:val="ListParagraph"/>
        <w:spacing w:after="0" w:line="240" w:lineRule="auto"/>
        <w:ind w:left="0" w:right="-720"/>
        <w:jc w:val="center"/>
        <w:rPr>
          <w:rFonts w:cs="Times New Roman"/>
          <w:b/>
          <w:sz w:val="24"/>
          <w:szCs w:val="24"/>
        </w:rPr>
      </w:pPr>
      <w:r w:rsidRPr="002227F4">
        <w:rPr>
          <w:rFonts w:cs="Times New Roman"/>
          <w:b/>
          <w:sz w:val="24"/>
          <w:szCs w:val="24"/>
        </w:rPr>
        <w:t xml:space="preserve">ERP </w:t>
      </w:r>
      <w:r w:rsidR="005A6265" w:rsidRPr="002227F4">
        <w:rPr>
          <w:rFonts w:cs="Times New Roman"/>
          <w:b/>
          <w:sz w:val="24"/>
          <w:szCs w:val="24"/>
        </w:rPr>
        <w:t>Standards</w:t>
      </w:r>
      <w:r w:rsidR="00096151" w:rsidRPr="002227F4">
        <w:rPr>
          <w:rFonts w:cs="Times New Roman"/>
          <w:b/>
          <w:sz w:val="24"/>
          <w:szCs w:val="24"/>
        </w:rPr>
        <w:t xml:space="preserve"> </w:t>
      </w:r>
      <w:r w:rsidRPr="002227F4">
        <w:rPr>
          <w:rFonts w:cs="Times New Roman"/>
          <w:b/>
          <w:sz w:val="24"/>
          <w:szCs w:val="24"/>
        </w:rPr>
        <w:t>Worksheet</w:t>
      </w:r>
    </w:p>
    <w:p w14:paraId="5D5D3A8F" w14:textId="78912DBF" w:rsidR="000A6AA4" w:rsidRPr="000A6AA4" w:rsidRDefault="000A6AA4" w:rsidP="000A6AA4">
      <w:pPr>
        <w:pStyle w:val="ListParagraph"/>
        <w:spacing w:after="0" w:line="240" w:lineRule="auto"/>
        <w:ind w:left="0" w:right="-720"/>
        <w:rPr>
          <w:rFonts w:cs="Times New Roman"/>
        </w:rPr>
      </w:pPr>
      <w:r w:rsidRPr="000A6AA4">
        <w:rPr>
          <w:rFonts w:cs="Times New Roman"/>
        </w:rPr>
        <w:t xml:space="preserve">This worksheet is for use by ERP members in data recording. These notes provide the substance for completing the ERP report. The notes are not submitted to COA or the program, </w:t>
      </w:r>
      <w:r w:rsidR="001729C3">
        <w:rPr>
          <w:rFonts w:cs="Times New Roman"/>
        </w:rPr>
        <w:t>and should be destroyed after the final ERP report is submitted</w:t>
      </w:r>
      <w:r w:rsidRPr="000A6AA4">
        <w:rPr>
          <w:rFonts w:cs="Times New Roman"/>
        </w:rPr>
        <w:t>. These documents are confidential for internal use only by the ERP.</w:t>
      </w:r>
    </w:p>
    <w:p w14:paraId="1B3F29E1" w14:textId="77777777" w:rsidR="000A6AA4" w:rsidRDefault="000A6AA4" w:rsidP="00205FCF">
      <w:pPr>
        <w:tabs>
          <w:tab w:val="left" w:pos="540"/>
          <w:tab w:val="left" w:pos="4950"/>
        </w:tabs>
        <w:spacing w:after="0" w:line="240" w:lineRule="auto"/>
        <w:ind w:right="4"/>
        <w:rPr>
          <w:rFonts w:cs="Times New Roman"/>
          <w:b/>
          <w:szCs w:val="28"/>
        </w:rPr>
      </w:pPr>
    </w:p>
    <w:p w14:paraId="198CCDC3" w14:textId="2B388B86" w:rsidR="001D47D3" w:rsidRPr="002227F4" w:rsidRDefault="002844E8" w:rsidP="00205FCF">
      <w:pPr>
        <w:tabs>
          <w:tab w:val="left" w:pos="540"/>
          <w:tab w:val="left" w:pos="4950"/>
        </w:tabs>
        <w:spacing w:after="0" w:line="240" w:lineRule="auto"/>
        <w:ind w:right="4"/>
        <w:rPr>
          <w:rFonts w:cs="Times New Roman"/>
          <w:b/>
          <w:szCs w:val="28"/>
          <w:u w:val="single"/>
        </w:rPr>
      </w:pPr>
      <w:r w:rsidRPr="002227F4">
        <w:rPr>
          <w:rFonts w:cs="Times New Roman"/>
          <w:b/>
          <w:szCs w:val="28"/>
        </w:rPr>
        <w:t>Program:</w:t>
      </w:r>
      <w:r w:rsidRPr="002227F4">
        <w:rPr>
          <w:rFonts w:cs="Times New Roman"/>
          <w:b/>
          <w:szCs w:val="28"/>
        </w:rPr>
        <w:tab/>
      </w:r>
    </w:p>
    <w:p w14:paraId="667C69E8" w14:textId="77777777" w:rsidR="00096151" w:rsidRPr="002227F4" w:rsidRDefault="002844E8" w:rsidP="00205FCF">
      <w:pPr>
        <w:tabs>
          <w:tab w:val="left" w:pos="1080"/>
          <w:tab w:val="left" w:pos="4950"/>
        </w:tabs>
        <w:spacing w:after="0" w:line="240" w:lineRule="auto"/>
        <w:ind w:right="-720"/>
        <w:rPr>
          <w:rFonts w:cs="Times New Roman"/>
          <w:b/>
          <w:szCs w:val="28"/>
        </w:rPr>
      </w:pPr>
      <w:r w:rsidRPr="002227F4">
        <w:rPr>
          <w:rFonts w:cs="Times New Roman"/>
          <w:b/>
          <w:szCs w:val="28"/>
        </w:rPr>
        <w:t xml:space="preserve">Dates of Site visit: </w:t>
      </w:r>
    </w:p>
    <w:p w14:paraId="359C5D63" w14:textId="4DF7D7F3" w:rsidR="002844E8" w:rsidRPr="002227F4" w:rsidRDefault="002844E8" w:rsidP="00205FCF">
      <w:pPr>
        <w:tabs>
          <w:tab w:val="left" w:pos="1080"/>
          <w:tab w:val="left" w:pos="4950"/>
        </w:tabs>
        <w:spacing w:after="0" w:line="240" w:lineRule="auto"/>
        <w:ind w:right="-720"/>
        <w:rPr>
          <w:rFonts w:cs="Times New Roman"/>
          <w:b/>
          <w:szCs w:val="28"/>
          <w:u w:val="single"/>
        </w:rPr>
      </w:pPr>
      <w:r w:rsidRPr="002227F4">
        <w:rPr>
          <w:rFonts w:cs="Times New Roman"/>
          <w:b/>
          <w:szCs w:val="28"/>
        </w:rPr>
        <w:tab/>
      </w:r>
    </w:p>
    <w:tbl>
      <w:tblPr>
        <w:tblStyle w:val="TableGrid"/>
        <w:tblW w:w="14130" w:type="dxa"/>
        <w:tblInd w:w="108" w:type="dxa"/>
        <w:tblLayout w:type="fixed"/>
        <w:tblCellMar>
          <w:top w:w="43" w:type="dxa"/>
          <w:left w:w="115" w:type="dxa"/>
          <w:bottom w:w="43" w:type="dxa"/>
          <w:right w:w="115" w:type="dxa"/>
        </w:tblCellMar>
        <w:tblLook w:val="04A0" w:firstRow="1" w:lastRow="0" w:firstColumn="1" w:lastColumn="0" w:noHBand="0" w:noVBand="1"/>
      </w:tblPr>
      <w:tblGrid>
        <w:gridCol w:w="4410"/>
        <w:gridCol w:w="270"/>
        <w:gridCol w:w="3960"/>
        <w:gridCol w:w="3510"/>
        <w:gridCol w:w="1980"/>
      </w:tblGrid>
      <w:tr w:rsidR="00F00A83" w:rsidRPr="002227F4" w14:paraId="3B4DA449" w14:textId="42E29AF5" w:rsidTr="000E798B">
        <w:tc>
          <w:tcPr>
            <w:tcW w:w="4680" w:type="dxa"/>
            <w:gridSpan w:val="2"/>
            <w:shd w:val="clear" w:color="auto" w:fill="BFBFBF" w:themeFill="background1" w:themeFillShade="BF"/>
          </w:tcPr>
          <w:p w14:paraId="5C927453" w14:textId="77777777" w:rsidR="00F00A83" w:rsidRPr="002227F4" w:rsidRDefault="00F00A83" w:rsidP="009B5B8E">
            <w:pPr>
              <w:rPr>
                <w:rFonts w:cs="Times New Roman"/>
                <w:b/>
                <w:sz w:val="24"/>
                <w:szCs w:val="24"/>
              </w:rPr>
            </w:pPr>
            <w:r w:rsidRPr="002227F4">
              <w:rPr>
                <w:rFonts w:eastAsia="Times New Roman" w:cs="Times New Roman"/>
                <w:b/>
                <w:sz w:val="24"/>
                <w:szCs w:val="24"/>
              </w:rPr>
              <w:t>I Systematic Planning</w:t>
            </w:r>
          </w:p>
        </w:tc>
        <w:tc>
          <w:tcPr>
            <w:tcW w:w="3960" w:type="dxa"/>
            <w:shd w:val="clear" w:color="auto" w:fill="BFBFBF" w:themeFill="background1" w:themeFillShade="BF"/>
          </w:tcPr>
          <w:p w14:paraId="6D88FC8D" w14:textId="611EA123" w:rsidR="00F00A83" w:rsidRPr="002227F4" w:rsidRDefault="001F4AE4" w:rsidP="009B5B8E">
            <w:pPr>
              <w:rPr>
                <w:rFonts w:cs="Times New Roman"/>
                <w:b/>
                <w:sz w:val="24"/>
                <w:szCs w:val="24"/>
              </w:rPr>
            </w:pPr>
            <w:r w:rsidRPr="001F4AE4">
              <w:rPr>
                <w:b/>
                <w:sz w:val="20"/>
                <w:szCs w:val="20"/>
              </w:rPr>
              <w:t>Source/Assertion</w:t>
            </w:r>
          </w:p>
        </w:tc>
        <w:tc>
          <w:tcPr>
            <w:tcW w:w="3510" w:type="dxa"/>
            <w:shd w:val="clear" w:color="auto" w:fill="BFBFBF" w:themeFill="background1" w:themeFillShade="BF"/>
          </w:tcPr>
          <w:p w14:paraId="2BC0D0A2" w14:textId="6B84BAAD" w:rsidR="00F00A83" w:rsidRPr="002227F4" w:rsidRDefault="001F4AE4" w:rsidP="00620E48">
            <w:pPr>
              <w:rPr>
                <w:rFonts w:eastAsia="Times New Roman" w:cs="Times New Roman"/>
                <w:b/>
                <w:sz w:val="24"/>
                <w:szCs w:val="24"/>
              </w:rPr>
            </w:pPr>
            <w:r w:rsidRPr="001F4AE4">
              <w:rPr>
                <w:b/>
                <w:sz w:val="20"/>
                <w:szCs w:val="20"/>
              </w:rPr>
              <w:t>Evidence verified</w:t>
            </w:r>
          </w:p>
        </w:tc>
        <w:tc>
          <w:tcPr>
            <w:tcW w:w="1980" w:type="dxa"/>
            <w:shd w:val="clear" w:color="auto" w:fill="BFBFBF" w:themeFill="background1" w:themeFillShade="BF"/>
          </w:tcPr>
          <w:p w14:paraId="0A5F79A1" w14:textId="7627DAED" w:rsidR="00F00A83" w:rsidRPr="002227F4" w:rsidRDefault="005207C1" w:rsidP="0088067E">
            <w:pPr>
              <w:jc w:val="center"/>
              <w:rPr>
                <w:rFonts w:eastAsia="Times New Roman" w:cs="Times New Roman"/>
                <w:b/>
                <w:sz w:val="24"/>
                <w:szCs w:val="24"/>
              </w:rPr>
            </w:pPr>
            <w:r w:rsidRPr="005207C1">
              <w:rPr>
                <w:b/>
                <w:sz w:val="20"/>
                <w:szCs w:val="20"/>
              </w:rPr>
              <w:t>Evidence supports compliance?</w:t>
            </w:r>
          </w:p>
        </w:tc>
      </w:tr>
      <w:tr w:rsidR="00193FCA" w:rsidRPr="002227F4" w14:paraId="2E3C6BD7" w14:textId="0BC9DA0D" w:rsidTr="000E798B">
        <w:tc>
          <w:tcPr>
            <w:tcW w:w="4680" w:type="dxa"/>
            <w:gridSpan w:val="2"/>
          </w:tcPr>
          <w:p w14:paraId="65E5635E" w14:textId="0FF6EC01" w:rsidR="002D7287" w:rsidRPr="002227F4" w:rsidRDefault="002D7287" w:rsidP="009B5B8E">
            <w:pPr>
              <w:rPr>
                <w:rFonts w:cs="Times New Roman"/>
                <w:b/>
                <w:sz w:val="20"/>
                <w:szCs w:val="20"/>
              </w:rPr>
            </w:pPr>
            <w:r w:rsidRPr="002227F4">
              <w:rPr>
                <w:rFonts w:cs="Times New Roman"/>
                <w:b/>
                <w:sz w:val="20"/>
                <w:szCs w:val="20"/>
              </w:rPr>
              <w:t xml:space="preserve">Standard I.1. </w:t>
            </w:r>
            <w:r w:rsidRPr="002227F4">
              <w:rPr>
                <w:rFonts w:cs="Times New Roman"/>
                <w:sz w:val="20"/>
                <w:szCs w:val="20"/>
              </w:rPr>
              <w:t>The program’s mission and goals, both administrative and educational, are pursued, and its program objectives achieved, through implementation of an ongoing, broad-based, systematic planning process that involves the constituencies that a program seeks to serve. Elements of systematic planning include:</w:t>
            </w:r>
            <w:r w:rsidRPr="002227F4">
              <w:rPr>
                <w:rFonts w:cs="Times New Roman"/>
                <w:b/>
                <w:sz w:val="20"/>
                <w:szCs w:val="20"/>
              </w:rPr>
              <w:t xml:space="preserve"> </w:t>
            </w:r>
          </w:p>
        </w:tc>
        <w:tc>
          <w:tcPr>
            <w:tcW w:w="3960" w:type="dxa"/>
          </w:tcPr>
          <w:p w14:paraId="2C21F839" w14:textId="6C78B048" w:rsidR="002D7287" w:rsidRPr="002227F4" w:rsidRDefault="002D7287" w:rsidP="009B5B8E">
            <w:pPr>
              <w:rPr>
                <w:rFonts w:cs="Times New Roman"/>
                <w:b/>
                <w:sz w:val="20"/>
                <w:szCs w:val="20"/>
              </w:rPr>
            </w:pPr>
          </w:p>
        </w:tc>
        <w:tc>
          <w:tcPr>
            <w:tcW w:w="3510" w:type="dxa"/>
          </w:tcPr>
          <w:p w14:paraId="5D62F2F7" w14:textId="27C4E80F" w:rsidR="002D7287" w:rsidRPr="002227F4" w:rsidRDefault="002D7287" w:rsidP="002D7287">
            <w:pPr>
              <w:rPr>
                <w:rFonts w:cs="Times New Roman"/>
                <w:b/>
                <w:sz w:val="20"/>
                <w:szCs w:val="20"/>
              </w:rPr>
            </w:pPr>
          </w:p>
        </w:tc>
        <w:tc>
          <w:tcPr>
            <w:tcW w:w="1980" w:type="dxa"/>
          </w:tcPr>
          <w:p w14:paraId="59BEDFEA" w14:textId="7F416435" w:rsidR="002D7287" w:rsidRPr="002227F4" w:rsidRDefault="002D7287" w:rsidP="002D7287">
            <w:pPr>
              <w:rPr>
                <w:rFonts w:cs="Times New Roman"/>
                <w:b/>
                <w:sz w:val="20"/>
                <w:szCs w:val="20"/>
              </w:rPr>
            </w:pPr>
          </w:p>
        </w:tc>
      </w:tr>
      <w:tr w:rsidR="00193FCA" w:rsidRPr="002227F4" w14:paraId="424B6CDF" w14:textId="0AA100E2" w:rsidTr="000E798B">
        <w:tc>
          <w:tcPr>
            <w:tcW w:w="4680" w:type="dxa"/>
            <w:gridSpan w:val="2"/>
          </w:tcPr>
          <w:p w14:paraId="2CA45020" w14:textId="056E3626" w:rsidR="002D7287" w:rsidRPr="002227F4" w:rsidRDefault="002D7287" w:rsidP="009B5B8E">
            <w:pPr>
              <w:rPr>
                <w:rFonts w:cs="Times New Roman"/>
                <w:sz w:val="20"/>
                <w:szCs w:val="20"/>
              </w:rPr>
            </w:pPr>
            <w:r w:rsidRPr="002227F4">
              <w:rPr>
                <w:rFonts w:cs="Times New Roman"/>
                <w:b/>
                <w:sz w:val="20"/>
                <w:szCs w:val="20"/>
              </w:rPr>
              <w:t xml:space="preserve">I.1.1 </w:t>
            </w:r>
            <w:r w:rsidRPr="002227F4">
              <w:rPr>
                <w:rFonts w:cs="Times New Roman"/>
                <w:sz w:val="20"/>
                <w:szCs w:val="20"/>
              </w:rPr>
              <w:t>Continuous review and revision of a program’s vision, mission, goals, objectives, and student learning outcomes;</w:t>
            </w:r>
          </w:p>
        </w:tc>
        <w:tc>
          <w:tcPr>
            <w:tcW w:w="3960" w:type="dxa"/>
          </w:tcPr>
          <w:p w14:paraId="16EDF7E3" w14:textId="77777777" w:rsidR="002D7287" w:rsidRPr="002227F4" w:rsidRDefault="002D7287" w:rsidP="009B5B8E">
            <w:pPr>
              <w:rPr>
                <w:rFonts w:cs="Times New Roman"/>
                <w:b/>
                <w:sz w:val="28"/>
                <w:szCs w:val="28"/>
              </w:rPr>
            </w:pPr>
          </w:p>
        </w:tc>
        <w:tc>
          <w:tcPr>
            <w:tcW w:w="3510" w:type="dxa"/>
          </w:tcPr>
          <w:p w14:paraId="511755D2" w14:textId="77777777" w:rsidR="002D7287" w:rsidRPr="002227F4" w:rsidRDefault="002D7287" w:rsidP="00620E48">
            <w:pPr>
              <w:rPr>
                <w:rFonts w:cs="Times New Roman"/>
                <w:b/>
                <w:sz w:val="28"/>
                <w:szCs w:val="28"/>
              </w:rPr>
            </w:pPr>
          </w:p>
        </w:tc>
        <w:tc>
          <w:tcPr>
            <w:tcW w:w="1980" w:type="dxa"/>
          </w:tcPr>
          <w:p w14:paraId="5DAB8EA7" w14:textId="77777777" w:rsidR="002D7287" w:rsidRPr="002227F4" w:rsidRDefault="002D7287" w:rsidP="00620E48">
            <w:pPr>
              <w:rPr>
                <w:rFonts w:cs="Times New Roman"/>
                <w:b/>
                <w:sz w:val="28"/>
                <w:szCs w:val="28"/>
              </w:rPr>
            </w:pPr>
          </w:p>
        </w:tc>
      </w:tr>
      <w:tr w:rsidR="00193FCA" w:rsidRPr="002227F4" w14:paraId="0AE34EA8" w14:textId="198C917C" w:rsidTr="000E798B">
        <w:tc>
          <w:tcPr>
            <w:tcW w:w="4680" w:type="dxa"/>
            <w:gridSpan w:val="2"/>
          </w:tcPr>
          <w:p w14:paraId="7F7581AC" w14:textId="2EC6032A" w:rsidR="002D7287" w:rsidRPr="002227F4" w:rsidRDefault="002D7287" w:rsidP="009B5B8E">
            <w:pPr>
              <w:rPr>
                <w:rFonts w:cs="Times New Roman"/>
                <w:sz w:val="20"/>
                <w:szCs w:val="20"/>
              </w:rPr>
            </w:pPr>
            <w:r w:rsidRPr="002227F4">
              <w:rPr>
                <w:rFonts w:cs="Times New Roman"/>
                <w:b/>
                <w:sz w:val="20"/>
                <w:szCs w:val="20"/>
              </w:rPr>
              <w:t xml:space="preserve">I.1.2 </w:t>
            </w:r>
            <w:r w:rsidRPr="002227F4">
              <w:rPr>
                <w:rFonts w:cs="Times New Roman"/>
                <w:sz w:val="20"/>
                <w:szCs w:val="20"/>
              </w:rPr>
              <w:t>Assessment of attainment of program goals, program objectives, and student learning outcomes;</w:t>
            </w:r>
          </w:p>
        </w:tc>
        <w:tc>
          <w:tcPr>
            <w:tcW w:w="3960" w:type="dxa"/>
          </w:tcPr>
          <w:p w14:paraId="49C7A3CA" w14:textId="77777777" w:rsidR="002D7287" w:rsidRPr="002227F4" w:rsidRDefault="002D7287" w:rsidP="009B5B8E">
            <w:pPr>
              <w:rPr>
                <w:rFonts w:cs="Times New Roman"/>
                <w:b/>
                <w:sz w:val="28"/>
                <w:szCs w:val="28"/>
              </w:rPr>
            </w:pPr>
          </w:p>
        </w:tc>
        <w:tc>
          <w:tcPr>
            <w:tcW w:w="3510" w:type="dxa"/>
          </w:tcPr>
          <w:p w14:paraId="60EB4DD2" w14:textId="77777777" w:rsidR="002D7287" w:rsidRPr="002227F4" w:rsidRDefault="002D7287" w:rsidP="00620E48">
            <w:pPr>
              <w:rPr>
                <w:rFonts w:cs="Times New Roman"/>
                <w:b/>
                <w:sz w:val="28"/>
                <w:szCs w:val="28"/>
              </w:rPr>
            </w:pPr>
          </w:p>
        </w:tc>
        <w:tc>
          <w:tcPr>
            <w:tcW w:w="1980" w:type="dxa"/>
          </w:tcPr>
          <w:p w14:paraId="40B5FC57" w14:textId="77777777" w:rsidR="002D7287" w:rsidRPr="002227F4" w:rsidRDefault="002D7287" w:rsidP="00620E48">
            <w:pPr>
              <w:rPr>
                <w:rFonts w:cs="Times New Roman"/>
                <w:b/>
                <w:sz w:val="28"/>
                <w:szCs w:val="28"/>
              </w:rPr>
            </w:pPr>
          </w:p>
        </w:tc>
      </w:tr>
      <w:tr w:rsidR="00193FCA" w:rsidRPr="002227F4" w14:paraId="19C9A9F8" w14:textId="209E7B96" w:rsidTr="000E798B">
        <w:trPr>
          <w:trHeight w:val="557"/>
        </w:trPr>
        <w:tc>
          <w:tcPr>
            <w:tcW w:w="4680" w:type="dxa"/>
            <w:gridSpan w:val="2"/>
          </w:tcPr>
          <w:p w14:paraId="4D4D4771" w14:textId="61365156" w:rsidR="002D7287" w:rsidRPr="000A6AA4" w:rsidRDefault="002D7287" w:rsidP="009B5B8E">
            <w:pPr>
              <w:rPr>
                <w:rFonts w:cs="Times New Roman"/>
                <w:sz w:val="20"/>
                <w:szCs w:val="20"/>
              </w:rPr>
            </w:pPr>
            <w:r w:rsidRPr="002227F4">
              <w:rPr>
                <w:rFonts w:cs="Times New Roman"/>
                <w:b/>
                <w:sz w:val="20"/>
                <w:szCs w:val="20"/>
              </w:rPr>
              <w:t xml:space="preserve">I.1.3 </w:t>
            </w:r>
            <w:r w:rsidRPr="002227F4">
              <w:rPr>
                <w:rFonts w:cs="Times New Roman"/>
                <w:sz w:val="20"/>
                <w:szCs w:val="20"/>
              </w:rPr>
              <w:t>Improvements to the program based on analysis of assessment data;</w:t>
            </w:r>
          </w:p>
        </w:tc>
        <w:tc>
          <w:tcPr>
            <w:tcW w:w="3960" w:type="dxa"/>
          </w:tcPr>
          <w:p w14:paraId="17D9CE3D" w14:textId="77777777" w:rsidR="002D7287" w:rsidRPr="002227F4" w:rsidRDefault="002D7287" w:rsidP="009B5B8E">
            <w:pPr>
              <w:rPr>
                <w:rFonts w:cs="Times New Roman"/>
                <w:b/>
                <w:sz w:val="28"/>
                <w:szCs w:val="28"/>
              </w:rPr>
            </w:pPr>
          </w:p>
        </w:tc>
        <w:tc>
          <w:tcPr>
            <w:tcW w:w="3510" w:type="dxa"/>
          </w:tcPr>
          <w:p w14:paraId="5220E076" w14:textId="77777777" w:rsidR="002D7287" w:rsidRPr="002227F4" w:rsidRDefault="002D7287" w:rsidP="00620E48">
            <w:pPr>
              <w:rPr>
                <w:rFonts w:cs="Times New Roman"/>
                <w:b/>
                <w:sz w:val="28"/>
                <w:szCs w:val="28"/>
              </w:rPr>
            </w:pPr>
          </w:p>
        </w:tc>
        <w:tc>
          <w:tcPr>
            <w:tcW w:w="1980" w:type="dxa"/>
          </w:tcPr>
          <w:p w14:paraId="7AF7E522" w14:textId="77777777" w:rsidR="002D7287" w:rsidRPr="002227F4" w:rsidRDefault="002D7287" w:rsidP="00620E48">
            <w:pPr>
              <w:rPr>
                <w:rFonts w:cs="Times New Roman"/>
                <w:b/>
                <w:sz w:val="28"/>
                <w:szCs w:val="28"/>
              </w:rPr>
            </w:pPr>
          </w:p>
        </w:tc>
      </w:tr>
      <w:tr w:rsidR="00193FCA" w:rsidRPr="002227F4" w14:paraId="5BEE6CB1" w14:textId="131E39AC" w:rsidTr="000E798B">
        <w:tc>
          <w:tcPr>
            <w:tcW w:w="4680" w:type="dxa"/>
            <w:gridSpan w:val="2"/>
          </w:tcPr>
          <w:p w14:paraId="688A3E39" w14:textId="2509FDFA" w:rsidR="002D7287" w:rsidRPr="002227F4" w:rsidRDefault="002D7287" w:rsidP="009B5B8E">
            <w:pPr>
              <w:rPr>
                <w:rFonts w:cs="Times New Roman"/>
                <w:sz w:val="20"/>
                <w:szCs w:val="20"/>
              </w:rPr>
            </w:pPr>
            <w:r w:rsidRPr="002227F4">
              <w:rPr>
                <w:rFonts w:cs="Times New Roman"/>
                <w:b/>
                <w:sz w:val="20"/>
                <w:szCs w:val="20"/>
              </w:rPr>
              <w:t xml:space="preserve">I.1.4 </w:t>
            </w:r>
            <w:r w:rsidRPr="002227F4">
              <w:rPr>
                <w:rFonts w:cs="Times New Roman"/>
                <w:sz w:val="20"/>
                <w:szCs w:val="20"/>
              </w:rPr>
              <w:t>Communication of planning policies, programs and processes to program constituents. The program has a written mission statement and a written strategic or long-range plan that provides vision and direction for its future, identifies needs and resources for its mission and goals, and is supported by university administration. The program’s goals and objectives are consistent with the values of the parent institution and the culture and mission of the program and foster quality education.  .</w:t>
            </w:r>
          </w:p>
        </w:tc>
        <w:tc>
          <w:tcPr>
            <w:tcW w:w="3960" w:type="dxa"/>
          </w:tcPr>
          <w:p w14:paraId="06829DDA" w14:textId="77777777" w:rsidR="002D7287" w:rsidRPr="002227F4" w:rsidRDefault="002D7287" w:rsidP="009B5B8E">
            <w:pPr>
              <w:rPr>
                <w:rFonts w:cs="Times New Roman"/>
                <w:b/>
                <w:sz w:val="28"/>
                <w:szCs w:val="28"/>
              </w:rPr>
            </w:pPr>
          </w:p>
        </w:tc>
        <w:tc>
          <w:tcPr>
            <w:tcW w:w="3510" w:type="dxa"/>
          </w:tcPr>
          <w:p w14:paraId="5F8DCEB1" w14:textId="77777777" w:rsidR="002D7287" w:rsidRPr="002227F4" w:rsidRDefault="002D7287" w:rsidP="00620E48">
            <w:pPr>
              <w:rPr>
                <w:rFonts w:cs="Times New Roman"/>
                <w:b/>
                <w:sz w:val="28"/>
                <w:szCs w:val="28"/>
              </w:rPr>
            </w:pPr>
          </w:p>
        </w:tc>
        <w:tc>
          <w:tcPr>
            <w:tcW w:w="1980" w:type="dxa"/>
          </w:tcPr>
          <w:p w14:paraId="099739C1" w14:textId="77777777" w:rsidR="002D7287" w:rsidRPr="002227F4" w:rsidRDefault="002D7287" w:rsidP="00620E48">
            <w:pPr>
              <w:rPr>
                <w:rFonts w:cs="Times New Roman"/>
                <w:b/>
                <w:sz w:val="28"/>
                <w:szCs w:val="28"/>
              </w:rPr>
            </w:pPr>
          </w:p>
        </w:tc>
      </w:tr>
      <w:tr w:rsidR="00193FCA" w:rsidRPr="002227F4" w14:paraId="7E023F63" w14:textId="098F526B" w:rsidTr="000E798B">
        <w:tc>
          <w:tcPr>
            <w:tcW w:w="4680" w:type="dxa"/>
            <w:gridSpan w:val="2"/>
          </w:tcPr>
          <w:p w14:paraId="390F97BE" w14:textId="3FCA0F22" w:rsidR="002D7287" w:rsidRPr="002227F4" w:rsidRDefault="002D7287" w:rsidP="009B5B8E">
            <w:pPr>
              <w:rPr>
                <w:rFonts w:cs="Times New Roman"/>
                <w:sz w:val="20"/>
                <w:szCs w:val="20"/>
              </w:rPr>
            </w:pPr>
            <w:r w:rsidRPr="002227F4">
              <w:rPr>
                <w:rFonts w:cs="Times New Roman"/>
                <w:b/>
                <w:sz w:val="20"/>
                <w:szCs w:val="20"/>
              </w:rPr>
              <w:t xml:space="preserve">I.2 </w:t>
            </w:r>
            <w:r w:rsidR="00FA7BA4" w:rsidRPr="002227F4">
              <w:rPr>
                <w:rFonts w:cs="Times New Roman"/>
                <w:sz w:val="20"/>
                <w:szCs w:val="20"/>
              </w:rPr>
              <w:t xml:space="preserve">Clearly defined student learning outcomes are a critical part of a program's goals. These outcomes describe what students are expected to know and be able to do by the time of graduation. They enable a faculty to arrive at a common understanding of the expectations for student learning and to achieve </w:t>
            </w:r>
            <w:r w:rsidR="00FA7BA4" w:rsidRPr="002227F4">
              <w:rPr>
                <w:rFonts w:cs="Times New Roman"/>
                <w:sz w:val="20"/>
                <w:szCs w:val="20"/>
              </w:rPr>
              <w:lastRenderedPageBreak/>
              <w:t>consistency across the curriculum. Student learning outcomes reflect the entirety of the learning experience to which students have been exposed. Student learning outcomes address:</w:t>
            </w:r>
          </w:p>
        </w:tc>
        <w:tc>
          <w:tcPr>
            <w:tcW w:w="3960" w:type="dxa"/>
          </w:tcPr>
          <w:p w14:paraId="135D513D" w14:textId="77777777" w:rsidR="002D7287" w:rsidRPr="002227F4" w:rsidRDefault="002D7287" w:rsidP="009B5B8E">
            <w:pPr>
              <w:rPr>
                <w:rFonts w:cs="Times New Roman"/>
                <w:b/>
                <w:sz w:val="28"/>
                <w:szCs w:val="28"/>
              </w:rPr>
            </w:pPr>
          </w:p>
        </w:tc>
        <w:tc>
          <w:tcPr>
            <w:tcW w:w="3510" w:type="dxa"/>
          </w:tcPr>
          <w:p w14:paraId="3A772FF7" w14:textId="77777777" w:rsidR="002D7287" w:rsidRPr="002227F4" w:rsidRDefault="002D7287" w:rsidP="00620E48">
            <w:pPr>
              <w:rPr>
                <w:rFonts w:cs="Times New Roman"/>
                <w:b/>
                <w:sz w:val="28"/>
                <w:szCs w:val="28"/>
              </w:rPr>
            </w:pPr>
          </w:p>
        </w:tc>
        <w:tc>
          <w:tcPr>
            <w:tcW w:w="1980" w:type="dxa"/>
          </w:tcPr>
          <w:p w14:paraId="5A599A47" w14:textId="77777777" w:rsidR="002D7287" w:rsidRPr="002227F4" w:rsidRDefault="002D7287" w:rsidP="00620E48">
            <w:pPr>
              <w:rPr>
                <w:rFonts w:cs="Times New Roman"/>
                <w:b/>
                <w:sz w:val="28"/>
                <w:szCs w:val="28"/>
              </w:rPr>
            </w:pPr>
          </w:p>
        </w:tc>
      </w:tr>
      <w:tr w:rsidR="00193FCA" w:rsidRPr="002227F4" w14:paraId="746EA584" w14:textId="77777777" w:rsidTr="000E798B">
        <w:tc>
          <w:tcPr>
            <w:tcW w:w="4680" w:type="dxa"/>
            <w:gridSpan w:val="2"/>
          </w:tcPr>
          <w:p w14:paraId="7E3E2337" w14:textId="2513E4DD" w:rsidR="00FA7BA4" w:rsidRPr="002227F4" w:rsidRDefault="00FA7BA4" w:rsidP="009B5B8E">
            <w:pPr>
              <w:rPr>
                <w:rFonts w:cs="Times New Roman"/>
                <w:b/>
                <w:sz w:val="20"/>
                <w:szCs w:val="20"/>
              </w:rPr>
            </w:pPr>
            <w:r w:rsidRPr="002227F4">
              <w:rPr>
                <w:rFonts w:cs="Times New Roman"/>
                <w:b/>
                <w:sz w:val="20"/>
                <w:szCs w:val="20"/>
              </w:rPr>
              <w:t xml:space="preserve">I.2.1. </w:t>
            </w:r>
            <w:r w:rsidRPr="002227F4">
              <w:rPr>
                <w:rFonts w:cs="Times New Roman"/>
                <w:sz w:val="20"/>
                <w:szCs w:val="20"/>
              </w:rPr>
              <w:t>The essential character of the field of library and information studies</w:t>
            </w:r>
            <w:r w:rsidRPr="002227F4">
              <w:rPr>
                <w:rFonts w:cs="Times New Roman"/>
                <w:b/>
                <w:sz w:val="20"/>
                <w:szCs w:val="20"/>
              </w:rPr>
              <w:t xml:space="preserve">; </w:t>
            </w:r>
          </w:p>
        </w:tc>
        <w:tc>
          <w:tcPr>
            <w:tcW w:w="3960" w:type="dxa"/>
          </w:tcPr>
          <w:p w14:paraId="30D9EAEB" w14:textId="77777777" w:rsidR="00FA7BA4" w:rsidRPr="002227F4" w:rsidRDefault="00FA7BA4" w:rsidP="009B5B8E">
            <w:pPr>
              <w:rPr>
                <w:rFonts w:cs="Times New Roman"/>
                <w:b/>
                <w:sz w:val="28"/>
                <w:szCs w:val="28"/>
              </w:rPr>
            </w:pPr>
          </w:p>
        </w:tc>
        <w:tc>
          <w:tcPr>
            <w:tcW w:w="3510" w:type="dxa"/>
          </w:tcPr>
          <w:p w14:paraId="33160F9D" w14:textId="77777777" w:rsidR="00FA7BA4" w:rsidRPr="002227F4" w:rsidRDefault="00FA7BA4" w:rsidP="00620E48">
            <w:pPr>
              <w:rPr>
                <w:rFonts w:cs="Times New Roman"/>
                <w:b/>
                <w:sz w:val="28"/>
                <w:szCs w:val="28"/>
              </w:rPr>
            </w:pPr>
          </w:p>
        </w:tc>
        <w:tc>
          <w:tcPr>
            <w:tcW w:w="1980" w:type="dxa"/>
          </w:tcPr>
          <w:p w14:paraId="7061D67E" w14:textId="77777777" w:rsidR="00FA7BA4" w:rsidRPr="002227F4" w:rsidRDefault="00FA7BA4" w:rsidP="00620E48">
            <w:pPr>
              <w:rPr>
                <w:rFonts w:cs="Times New Roman"/>
                <w:b/>
                <w:sz w:val="28"/>
                <w:szCs w:val="28"/>
              </w:rPr>
            </w:pPr>
          </w:p>
        </w:tc>
      </w:tr>
      <w:tr w:rsidR="00193FCA" w:rsidRPr="002227F4" w14:paraId="69E9FD4B" w14:textId="77777777" w:rsidTr="000E798B">
        <w:tc>
          <w:tcPr>
            <w:tcW w:w="4680" w:type="dxa"/>
            <w:gridSpan w:val="2"/>
          </w:tcPr>
          <w:p w14:paraId="4A834254" w14:textId="1BD0A5EF" w:rsidR="00FA7BA4" w:rsidRPr="002227F4" w:rsidRDefault="00FA7BA4" w:rsidP="009B5B8E">
            <w:pPr>
              <w:rPr>
                <w:rFonts w:cs="Times New Roman"/>
                <w:b/>
                <w:sz w:val="20"/>
                <w:szCs w:val="20"/>
              </w:rPr>
            </w:pPr>
            <w:r w:rsidRPr="002227F4">
              <w:rPr>
                <w:rFonts w:cs="Times New Roman"/>
                <w:b/>
                <w:sz w:val="20"/>
                <w:szCs w:val="20"/>
              </w:rPr>
              <w:t xml:space="preserve">I.2.2 </w:t>
            </w:r>
            <w:r w:rsidRPr="002227F4">
              <w:rPr>
                <w:rFonts w:cs="Times New Roman"/>
                <w:sz w:val="20"/>
                <w:szCs w:val="20"/>
              </w:rPr>
              <w:t>The philosophy, principles, and ethics of the field;</w:t>
            </w:r>
          </w:p>
        </w:tc>
        <w:tc>
          <w:tcPr>
            <w:tcW w:w="3960" w:type="dxa"/>
          </w:tcPr>
          <w:p w14:paraId="2894785E" w14:textId="77777777" w:rsidR="00FA7BA4" w:rsidRPr="002227F4" w:rsidRDefault="00FA7BA4" w:rsidP="009B5B8E">
            <w:pPr>
              <w:rPr>
                <w:rFonts w:cs="Times New Roman"/>
                <w:b/>
                <w:sz w:val="28"/>
                <w:szCs w:val="28"/>
              </w:rPr>
            </w:pPr>
          </w:p>
        </w:tc>
        <w:tc>
          <w:tcPr>
            <w:tcW w:w="3510" w:type="dxa"/>
          </w:tcPr>
          <w:p w14:paraId="62DA7E8B" w14:textId="77777777" w:rsidR="00FA7BA4" w:rsidRPr="002227F4" w:rsidRDefault="00FA7BA4" w:rsidP="00620E48">
            <w:pPr>
              <w:rPr>
                <w:rFonts w:cs="Times New Roman"/>
                <w:b/>
                <w:sz w:val="28"/>
                <w:szCs w:val="28"/>
              </w:rPr>
            </w:pPr>
          </w:p>
        </w:tc>
        <w:tc>
          <w:tcPr>
            <w:tcW w:w="1980" w:type="dxa"/>
          </w:tcPr>
          <w:p w14:paraId="733596E0" w14:textId="77777777" w:rsidR="00FA7BA4" w:rsidRPr="002227F4" w:rsidRDefault="00FA7BA4" w:rsidP="00620E48">
            <w:pPr>
              <w:rPr>
                <w:rFonts w:cs="Times New Roman"/>
                <w:b/>
                <w:sz w:val="28"/>
                <w:szCs w:val="28"/>
              </w:rPr>
            </w:pPr>
          </w:p>
        </w:tc>
      </w:tr>
      <w:tr w:rsidR="00193FCA" w:rsidRPr="002227F4" w14:paraId="1E850E73" w14:textId="77777777" w:rsidTr="000E798B">
        <w:tc>
          <w:tcPr>
            <w:tcW w:w="4680" w:type="dxa"/>
            <w:gridSpan w:val="2"/>
          </w:tcPr>
          <w:p w14:paraId="2E6F2371" w14:textId="241168B6" w:rsidR="00FA7BA4" w:rsidRPr="002227F4" w:rsidRDefault="00FA7BA4" w:rsidP="009B5B8E">
            <w:pPr>
              <w:rPr>
                <w:rFonts w:cs="Times New Roman"/>
                <w:b/>
                <w:sz w:val="20"/>
                <w:szCs w:val="20"/>
              </w:rPr>
            </w:pPr>
            <w:r w:rsidRPr="002227F4">
              <w:rPr>
                <w:rFonts w:cs="Times New Roman"/>
                <w:b/>
                <w:sz w:val="20"/>
                <w:szCs w:val="20"/>
              </w:rPr>
              <w:t xml:space="preserve">I.2.3 </w:t>
            </w:r>
            <w:r w:rsidRPr="002227F4">
              <w:rPr>
                <w:rFonts w:cs="Times New Roman"/>
                <w:sz w:val="20"/>
                <w:szCs w:val="20"/>
              </w:rPr>
              <w:t>Appropriate principles of specialization identified in applicable policy statements and documents of relevant professional organizations;</w:t>
            </w:r>
          </w:p>
        </w:tc>
        <w:tc>
          <w:tcPr>
            <w:tcW w:w="3960" w:type="dxa"/>
          </w:tcPr>
          <w:p w14:paraId="78AF8129" w14:textId="77777777" w:rsidR="00FA7BA4" w:rsidRPr="002227F4" w:rsidRDefault="00FA7BA4" w:rsidP="009B5B8E">
            <w:pPr>
              <w:rPr>
                <w:rFonts w:cs="Times New Roman"/>
                <w:b/>
                <w:sz w:val="28"/>
                <w:szCs w:val="28"/>
              </w:rPr>
            </w:pPr>
          </w:p>
        </w:tc>
        <w:tc>
          <w:tcPr>
            <w:tcW w:w="3510" w:type="dxa"/>
          </w:tcPr>
          <w:p w14:paraId="7FFAFD4C" w14:textId="77777777" w:rsidR="00FA7BA4" w:rsidRPr="002227F4" w:rsidRDefault="00FA7BA4" w:rsidP="00620E48">
            <w:pPr>
              <w:rPr>
                <w:rFonts w:cs="Times New Roman"/>
                <w:b/>
                <w:sz w:val="28"/>
                <w:szCs w:val="28"/>
              </w:rPr>
            </w:pPr>
          </w:p>
        </w:tc>
        <w:tc>
          <w:tcPr>
            <w:tcW w:w="1980" w:type="dxa"/>
          </w:tcPr>
          <w:p w14:paraId="5AD4531B" w14:textId="77777777" w:rsidR="00FA7BA4" w:rsidRPr="002227F4" w:rsidRDefault="00FA7BA4" w:rsidP="00620E48">
            <w:pPr>
              <w:rPr>
                <w:rFonts w:cs="Times New Roman"/>
                <w:b/>
                <w:sz w:val="28"/>
                <w:szCs w:val="28"/>
              </w:rPr>
            </w:pPr>
          </w:p>
        </w:tc>
      </w:tr>
      <w:tr w:rsidR="00193FCA" w:rsidRPr="002227F4" w14:paraId="4FC9C18D" w14:textId="77777777" w:rsidTr="000E798B">
        <w:tc>
          <w:tcPr>
            <w:tcW w:w="4680" w:type="dxa"/>
            <w:gridSpan w:val="2"/>
          </w:tcPr>
          <w:p w14:paraId="6CE06075" w14:textId="597C50B7" w:rsidR="00FA7BA4" w:rsidRPr="002227F4" w:rsidRDefault="00FA7BA4" w:rsidP="009B5B8E">
            <w:pPr>
              <w:rPr>
                <w:rFonts w:cs="Times New Roman"/>
                <w:b/>
                <w:sz w:val="20"/>
                <w:szCs w:val="20"/>
              </w:rPr>
            </w:pPr>
            <w:r w:rsidRPr="002227F4">
              <w:rPr>
                <w:rFonts w:cs="Times New Roman"/>
                <w:b/>
                <w:sz w:val="20"/>
                <w:szCs w:val="20"/>
              </w:rPr>
              <w:t xml:space="preserve">I.2.4 </w:t>
            </w:r>
            <w:r w:rsidRPr="002227F4">
              <w:rPr>
                <w:rFonts w:cs="Times New Roman"/>
                <w:sz w:val="20"/>
                <w:szCs w:val="20"/>
              </w:rPr>
              <w:t>The importance of research to the advancement of the field's knowledge base;</w:t>
            </w:r>
          </w:p>
        </w:tc>
        <w:tc>
          <w:tcPr>
            <w:tcW w:w="3960" w:type="dxa"/>
          </w:tcPr>
          <w:p w14:paraId="76E16256" w14:textId="77777777" w:rsidR="00FA7BA4" w:rsidRPr="002227F4" w:rsidRDefault="00FA7BA4" w:rsidP="009B5B8E">
            <w:pPr>
              <w:rPr>
                <w:rFonts w:cs="Times New Roman"/>
                <w:b/>
                <w:sz w:val="28"/>
                <w:szCs w:val="28"/>
              </w:rPr>
            </w:pPr>
          </w:p>
        </w:tc>
        <w:tc>
          <w:tcPr>
            <w:tcW w:w="3510" w:type="dxa"/>
          </w:tcPr>
          <w:p w14:paraId="3F866492" w14:textId="77777777" w:rsidR="00FA7BA4" w:rsidRPr="002227F4" w:rsidRDefault="00FA7BA4" w:rsidP="00620E48">
            <w:pPr>
              <w:rPr>
                <w:rFonts w:cs="Times New Roman"/>
                <w:b/>
                <w:sz w:val="28"/>
                <w:szCs w:val="28"/>
              </w:rPr>
            </w:pPr>
          </w:p>
        </w:tc>
        <w:tc>
          <w:tcPr>
            <w:tcW w:w="1980" w:type="dxa"/>
          </w:tcPr>
          <w:p w14:paraId="21CCFB19" w14:textId="77777777" w:rsidR="00FA7BA4" w:rsidRPr="002227F4" w:rsidRDefault="00FA7BA4" w:rsidP="00620E48">
            <w:pPr>
              <w:rPr>
                <w:rFonts w:cs="Times New Roman"/>
                <w:b/>
                <w:sz w:val="28"/>
                <w:szCs w:val="28"/>
              </w:rPr>
            </w:pPr>
          </w:p>
        </w:tc>
      </w:tr>
      <w:tr w:rsidR="00193FCA" w:rsidRPr="002227F4" w14:paraId="7B06F540" w14:textId="77777777" w:rsidTr="000E798B">
        <w:trPr>
          <w:trHeight w:val="557"/>
        </w:trPr>
        <w:tc>
          <w:tcPr>
            <w:tcW w:w="4680" w:type="dxa"/>
            <w:gridSpan w:val="2"/>
          </w:tcPr>
          <w:p w14:paraId="2BCCE876" w14:textId="7BB7301B" w:rsidR="00FA7BA4" w:rsidRPr="002227F4" w:rsidRDefault="00FA7BA4" w:rsidP="009B5B8E">
            <w:pPr>
              <w:rPr>
                <w:rFonts w:cs="Times New Roman"/>
                <w:b/>
                <w:sz w:val="20"/>
                <w:szCs w:val="20"/>
              </w:rPr>
            </w:pPr>
            <w:r w:rsidRPr="002227F4">
              <w:rPr>
                <w:rFonts w:cs="Times New Roman"/>
                <w:b/>
                <w:sz w:val="20"/>
                <w:szCs w:val="20"/>
              </w:rPr>
              <w:t xml:space="preserve">I.2.5 </w:t>
            </w:r>
            <w:r w:rsidRPr="002227F4">
              <w:rPr>
                <w:rFonts w:cs="Times New Roman"/>
                <w:sz w:val="20"/>
                <w:szCs w:val="20"/>
              </w:rPr>
              <w:t>The symbiotic relationship of library and information studies with other fields;</w:t>
            </w:r>
          </w:p>
        </w:tc>
        <w:tc>
          <w:tcPr>
            <w:tcW w:w="3960" w:type="dxa"/>
          </w:tcPr>
          <w:p w14:paraId="6EFED01B" w14:textId="77777777" w:rsidR="00FA7BA4" w:rsidRPr="002227F4" w:rsidRDefault="00FA7BA4" w:rsidP="009B5B8E">
            <w:pPr>
              <w:rPr>
                <w:rFonts w:cs="Times New Roman"/>
                <w:b/>
                <w:sz w:val="28"/>
                <w:szCs w:val="28"/>
              </w:rPr>
            </w:pPr>
          </w:p>
        </w:tc>
        <w:tc>
          <w:tcPr>
            <w:tcW w:w="3510" w:type="dxa"/>
          </w:tcPr>
          <w:p w14:paraId="40828276" w14:textId="77777777" w:rsidR="00FA7BA4" w:rsidRPr="002227F4" w:rsidRDefault="00FA7BA4" w:rsidP="00620E48">
            <w:pPr>
              <w:rPr>
                <w:rFonts w:cs="Times New Roman"/>
                <w:b/>
                <w:sz w:val="28"/>
                <w:szCs w:val="28"/>
              </w:rPr>
            </w:pPr>
          </w:p>
        </w:tc>
        <w:tc>
          <w:tcPr>
            <w:tcW w:w="1980" w:type="dxa"/>
          </w:tcPr>
          <w:p w14:paraId="69D3BD02" w14:textId="77777777" w:rsidR="00FA7BA4" w:rsidRPr="002227F4" w:rsidRDefault="00FA7BA4" w:rsidP="00620E48">
            <w:pPr>
              <w:rPr>
                <w:rFonts w:cs="Times New Roman"/>
                <w:b/>
                <w:sz w:val="28"/>
                <w:szCs w:val="28"/>
              </w:rPr>
            </w:pPr>
          </w:p>
        </w:tc>
      </w:tr>
      <w:tr w:rsidR="00193FCA" w:rsidRPr="002227F4" w14:paraId="454BADFB" w14:textId="77777777" w:rsidTr="000E798B">
        <w:tc>
          <w:tcPr>
            <w:tcW w:w="4680" w:type="dxa"/>
            <w:gridSpan w:val="2"/>
          </w:tcPr>
          <w:p w14:paraId="2299CA92" w14:textId="175CAEEA" w:rsidR="00FA7BA4" w:rsidRPr="002227F4" w:rsidRDefault="00FA7BA4" w:rsidP="009B5B8E">
            <w:pPr>
              <w:rPr>
                <w:rFonts w:cs="Times New Roman"/>
                <w:b/>
                <w:sz w:val="20"/>
                <w:szCs w:val="20"/>
              </w:rPr>
            </w:pPr>
            <w:r w:rsidRPr="002227F4">
              <w:rPr>
                <w:rFonts w:cs="Times New Roman"/>
                <w:b/>
                <w:sz w:val="20"/>
                <w:szCs w:val="20"/>
              </w:rPr>
              <w:t xml:space="preserve">I.2.6 </w:t>
            </w:r>
            <w:r w:rsidRPr="002227F4">
              <w:rPr>
                <w:rFonts w:cs="Times New Roman"/>
                <w:sz w:val="20"/>
                <w:szCs w:val="20"/>
              </w:rPr>
              <w:t>The role of library and information services in a diverse global society, including the role of serving the needs of underserved groups;</w:t>
            </w:r>
          </w:p>
        </w:tc>
        <w:tc>
          <w:tcPr>
            <w:tcW w:w="3960" w:type="dxa"/>
          </w:tcPr>
          <w:p w14:paraId="00FCFEC3" w14:textId="77777777" w:rsidR="00FA7BA4" w:rsidRPr="002227F4" w:rsidRDefault="00FA7BA4" w:rsidP="009B5B8E">
            <w:pPr>
              <w:rPr>
                <w:rFonts w:cs="Times New Roman"/>
                <w:b/>
                <w:sz w:val="28"/>
                <w:szCs w:val="28"/>
              </w:rPr>
            </w:pPr>
          </w:p>
        </w:tc>
        <w:tc>
          <w:tcPr>
            <w:tcW w:w="3510" w:type="dxa"/>
          </w:tcPr>
          <w:p w14:paraId="04C62967" w14:textId="77777777" w:rsidR="00FA7BA4" w:rsidRPr="002227F4" w:rsidRDefault="00FA7BA4" w:rsidP="00620E48">
            <w:pPr>
              <w:rPr>
                <w:rFonts w:cs="Times New Roman"/>
                <w:b/>
                <w:sz w:val="28"/>
                <w:szCs w:val="28"/>
              </w:rPr>
            </w:pPr>
          </w:p>
        </w:tc>
        <w:tc>
          <w:tcPr>
            <w:tcW w:w="1980" w:type="dxa"/>
          </w:tcPr>
          <w:p w14:paraId="412F0E7D" w14:textId="77777777" w:rsidR="00FA7BA4" w:rsidRPr="002227F4" w:rsidRDefault="00FA7BA4" w:rsidP="00620E48">
            <w:pPr>
              <w:rPr>
                <w:rFonts w:cs="Times New Roman"/>
                <w:b/>
                <w:sz w:val="28"/>
                <w:szCs w:val="28"/>
              </w:rPr>
            </w:pPr>
          </w:p>
        </w:tc>
      </w:tr>
      <w:tr w:rsidR="00193FCA" w:rsidRPr="002227F4" w14:paraId="7E98C0E7" w14:textId="77777777" w:rsidTr="000E798B">
        <w:tc>
          <w:tcPr>
            <w:tcW w:w="4680" w:type="dxa"/>
            <w:gridSpan w:val="2"/>
          </w:tcPr>
          <w:p w14:paraId="55E91B34" w14:textId="54D8CC52" w:rsidR="00FA7BA4" w:rsidRPr="002227F4" w:rsidRDefault="00FA7BA4" w:rsidP="009B5B8E">
            <w:pPr>
              <w:rPr>
                <w:rFonts w:cs="Times New Roman"/>
                <w:sz w:val="20"/>
                <w:szCs w:val="20"/>
              </w:rPr>
            </w:pPr>
            <w:r w:rsidRPr="002227F4">
              <w:rPr>
                <w:rFonts w:cs="Times New Roman"/>
                <w:b/>
                <w:sz w:val="20"/>
                <w:szCs w:val="20"/>
              </w:rPr>
              <w:t xml:space="preserve">I.2.7 </w:t>
            </w:r>
            <w:r w:rsidRPr="002227F4">
              <w:rPr>
                <w:rFonts w:cs="Times New Roman"/>
                <w:sz w:val="20"/>
                <w:szCs w:val="20"/>
              </w:rPr>
              <w:t>The role of library and information services in a rapidly changing technological society;</w:t>
            </w:r>
          </w:p>
        </w:tc>
        <w:tc>
          <w:tcPr>
            <w:tcW w:w="3960" w:type="dxa"/>
          </w:tcPr>
          <w:p w14:paraId="6AC56BEF" w14:textId="77777777" w:rsidR="00FA7BA4" w:rsidRPr="002227F4" w:rsidRDefault="00FA7BA4" w:rsidP="009B5B8E">
            <w:pPr>
              <w:rPr>
                <w:rFonts w:cs="Times New Roman"/>
                <w:b/>
                <w:sz w:val="28"/>
                <w:szCs w:val="28"/>
              </w:rPr>
            </w:pPr>
          </w:p>
        </w:tc>
        <w:tc>
          <w:tcPr>
            <w:tcW w:w="3510" w:type="dxa"/>
          </w:tcPr>
          <w:p w14:paraId="32CAAC0E" w14:textId="77777777" w:rsidR="00FA7BA4" w:rsidRPr="002227F4" w:rsidRDefault="00FA7BA4" w:rsidP="00620E48">
            <w:pPr>
              <w:rPr>
                <w:rFonts w:cs="Times New Roman"/>
                <w:b/>
                <w:sz w:val="28"/>
                <w:szCs w:val="28"/>
              </w:rPr>
            </w:pPr>
          </w:p>
        </w:tc>
        <w:tc>
          <w:tcPr>
            <w:tcW w:w="1980" w:type="dxa"/>
          </w:tcPr>
          <w:p w14:paraId="24377539" w14:textId="77777777" w:rsidR="00FA7BA4" w:rsidRPr="002227F4" w:rsidRDefault="00FA7BA4" w:rsidP="00620E48">
            <w:pPr>
              <w:rPr>
                <w:rFonts w:cs="Times New Roman"/>
                <w:b/>
                <w:sz w:val="28"/>
                <w:szCs w:val="28"/>
              </w:rPr>
            </w:pPr>
          </w:p>
        </w:tc>
      </w:tr>
      <w:tr w:rsidR="00193FCA" w:rsidRPr="002227F4" w14:paraId="789B670E" w14:textId="77777777" w:rsidTr="000E798B">
        <w:tc>
          <w:tcPr>
            <w:tcW w:w="4680" w:type="dxa"/>
            <w:gridSpan w:val="2"/>
          </w:tcPr>
          <w:p w14:paraId="137F1BDC" w14:textId="0E23749E" w:rsidR="00FA7BA4" w:rsidRPr="002227F4" w:rsidRDefault="00FA7BA4" w:rsidP="009B5B8E">
            <w:pPr>
              <w:rPr>
                <w:rFonts w:cs="Times New Roman"/>
                <w:sz w:val="20"/>
                <w:szCs w:val="20"/>
              </w:rPr>
            </w:pPr>
            <w:r w:rsidRPr="002227F4">
              <w:rPr>
                <w:rFonts w:cs="Times New Roman"/>
                <w:b/>
                <w:sz w:val="20"/>
                <w:szCs w:val="20"/>
              </w:rPr>
              <w:t xml:space="preserve">I.2.8 </w:t>
            </w:r>
            <w:r w:rsidRPr="002227F4">
              <w:rPr>
                <w:rFonts w:cs="Times New Roman"/>
                <w:sz w:val="20"/>
                <w:szCs w:val="20"/>
              </w:rPr>
              <w:t>The needs of the constituencies that a program seeks to serve.</w:t>
            </w:r>
          </w:p>
        </w:tc>
        <w:tc>
          <w:tcPr>
            <w:tcW w:w="3960" w:type="dxa"/>
          </w:tcPr>
          <w:p w14:paraId="0E5C7156" w14:textId="77777777" w:rsidR="00FA7BA4" w:rsidRPr="002227F4" w:rsidRDefault="00FA7BA4" w:rsidP="009B5B8E">
            <w:pPr>
              <w:rPr>
                <w:rFonts w:cs="Times New Roman"/>
                <w:b/>
                <w:sz w:val="28"/>
                <w:szCs w:val="28"/>
              </w:rPr>
            </w:pPr>
          </w:p>
        </w:tc>
        <w:tc>
          <w:tcPr>
            <w:tcW w:w="3510" w:type="dxa"/>
          </w:tcPr>
          <w:p w14:paraId="0B749C61" w14:textId="77777777" w:rsidR="00FA7BA4" w:rsidRPr="002227F4" w:rsidRDefault="00FA7BA4" w:rsidP="00620E48">
            <w:pPr>
              <w:rPr>
                <w:rFonts w:cs="Times New Roman"/>
                <w:b/>
                <w:sz w:val="28"/>
                <w:szCs w:val="28"/>
              </w:rPr>
            </w:pPr>
          </w:p>
        </w:tc>
        <w:tc>
          <w:tcPr>
            <w:tcW w:w="1980" w:type="dxa"/>
          </w:tcPr>
          <w:p w14:paraId="139FE831" w14:textId="77777777" w:rsidR="00FA7BA4" w:rsidRPr="002227F4" w:rsidRDefault="00FA7BA4" w:rsidP="00620E48">
            <w:pPr>
              <w:rPr>
                <w:rFonts w:cs="Times New Roman"/>
                <w:b/>
                <w:sz w:val="28"/>
                <w:szCs w:val="28"/>
              </w:rPr>
            </w:pPr>
          </w:p>
        </w:tc>
      </w:tr>
      <w:tr w:rsidR="00193FCA" w:rsidRPr="002227F4" w14:paraId="19DB34D2" w14:textId="77777777" w:rsidTr="000E798B">
        <w:tc>
          <w:tcPr>
            <w:tcW w:w="4680" w:type="dxa"/>
            <w:gridSpan w:val="2"/>
          </w:tcPr>
          <w:p w14:paraId="111844F8" w14:textId="0116CD8F" w:rsidR="00FA7BA4" w:rsidRPr="002227F4" w:rsidRDefault="00FA7BA4" w:rsidP="009B5B8E">
            <w:pPr>
              <w:rPr>
                <w:rFonts w:cs="Times New Roman"/>
                <w:b/>
                <w:sz w:val="20"/>
                <w:szCs w:val="20"/>
              </w:rPr>
            </w:pPr>
            <w:r w:rsidRPr="002227F4">
              <w:rPr>
                <w:rFonts w:cs="Times New Roman"/>
                <w:b/>
                <w:sz w:val="20"/>
                <w:szCs w:val="20"/>
              </w:rPr>
              <w:t xml:space="preserve">I.3 </w:t>
            </w:r>
            <w:r w:rsidRPr="002227F4">
              <w:rPr>
                <w:rFonts w:cs="Times New Roman"/>
                <w:sz w:val="20"/>
                <w:szCs w:val="20"/>
              </w:rPr>
              <w:t>Program goals and objectives incorporate the value of teaching and service to the field.</w:t>
            </w:r>
          </w:p>
        </w:tc>
        <w:tc>
          <w:tcPr>
            <w:tcW w:w="3960" w:type="dxa"/>
          </w:tcPr>
          <w:p w14:paraId="6B1A9217" w14:textId="77777777" w:rsidR="00FA7BA4" w:rsidRPr="002227F4" w:rsidRDefault="00FA7BA4" w:rsidP="009B5B8E">
            <w:pPr>
              <w:rPr>
                <w:rFonts w:cs="Times New Roman"/>
                <w:b/>
                <w:sz w:val="28"/>
                <w:szCs w:val="28"/>
              </w:rPr>
            </w:pPr>
          </w:p>
        </w:tc>
        <w:tc>
          <w:tcPr>
            <w:tcW w:w="3510" w:type="dxa"/>
          </w:tcPr>
          <w:p w14:paraId="75637ECD" w14:textId="77777777" w:rsidR="00FA7BA4" w:rsidRPr="002227F4" w:rsidRDefault="00FA7BA4" w:rsidP="00620E48">
            <w:pPr>
              <w:rPr>
                <w:rFonts w:cs="Times New Roman"/>
                <w:b/>
                <w:sz w:val="28"/>
                <w:szCs w:val="28"/>
              </w:rPr>
            </w:pPr>
          </w:p>
        </w:tc>
        <w:tc>
          <w:tcPr>
            <w:tcW w:w="1980" w:type="dxa"/>
          </w:tcPr>
          <w:p w14:paraId="050487D2" w14:textId="77777777" w:rsidR="00FA7BA4" w:rsidRPr="002227F4" w:rsidRDefault="00FA7BA4" w:rsidP="00620E48">
            <w:pPr>
              <w:rPr>
                <w:rFonts w:cs="Times New Roman"/>
                <w:b/>
                <w:sz w:val="28"/>
                <w:szCs w:val="28"/>
              </w:rPr>
            </w:pPr>
          </w:p>
        </w:tc>
      </w:tr>
      <w:tr w:rsidR="00193FCA" w:rsidRPr="002227F4" w14:paraId="1CC987F1" w14:textId="77777777" w:rsidTr="000E798B">
        <w:tc>
          <w:tcPr>
            <w:tcW w:w="4680" w:type="dxa"/>
            <w:gridSpan w:val="2"/>
          </w:tcPr>
          <w:p w14:paraId="534692DE" w14:textId="7E9066D1" w:rsidR="00FA7BA4" w:rsidRPr="002227F4" w:rsidRDefault="00FA7BA4" w:rsidP="009B5B8E">
            <w:pPr>
              <w:rPr>
                <w:rFonts w:cs="Times New Roman"/>
                <w:sz w:val="20"/>
                <w:szCs w:val="20"/>
              </w:rPr>
            </w:pPr>
            <w:r w:rsidRPr="002227F4">
              <w:rPr>
                <w:rFonts w:cs="Times New Roman"/>
                <w:b/>
                <w:sz w:val="20"/>
                <w:szCs w:val="20"/>
              </w:rPr>
              <w:t xml:space="preserve">I.4 </w:t>
            </w:r>
            <w:r w:rsidRPr="002227F4">
              <w:rPr>
                <w:rFonts w:cs="Times New Roman"/>
                <w:sz w:val="20"/>
                <w:szCs w:val="20"/>
              </w:rPr>
              <w:t>Within the context of these Standards each program is judged on the degree to which it attains its objectives. In accord with the mission of the program, clearly defined, publicly stated, and regularly reviewed program goals and objectives form the essential frame of reference for meaningful external and internal evaluation.</w:t>
            </w:r>
          </w:p>
        </w:tc>
        <w:tc>
          <w:tcPr>
            <w:tcW w:w="3960" w:type="dxa"/>
          </w:tcPr>
          <w:p w14:paraId="557D2052" w14:textId="77777777" w:rsidR="00FA7BA4" w:rsidRPr="002227F4" w:rsidRDefault="00FA7BA4" w:rsidP="009B5B8E">
            <w:pPr>
              <w:rPr>
                <w:rFonts w:cs="Times New Roman"/>
                <w:b/>
                <w:sz w:val="28"/>
                <w:szCs w:val="28"/>
              </w:rPr>
            </w:pPr>
          </w:p>
        </w:tc>
        <w:tc>
          <w:tcPr>
            <w:tcW w:w="3510" w:type="dxa"/>
          </w:tcPr>
          <w:p w14:paraId="3C4DC32E" w14:textId="77777777" w:rsidR="00FA7BA4" w:rsidRPr="002227F4" w:rsidRDefault="00FA7BA4" w:rsidP="00620E48">
            <w:pPr>
              <w:rPr>
                <w:rFonts w:cs="Times New Roman"/>
                <w:b/>
                <w:sz w:val="28"/>
                <w:szCs w:val="28"/>
              </w:rPr>
            </w:pPr>
          </w:p>
        </w:tc>
        <w:tc>
          <w:tcPr>
            <w:tcW w:w="1980" w:type="dxa"/>
          </w:tcPr>
          <w:p w14:paraId="0E4589F0" w14:textId="77777777" w:rsidR="00FA7BA4" w:rsidRPr="002227F4" w:rsidRDefault="00FA7BA4" w:rsidP="00620E48">
            <w:pPr>
              <w:rPr>
                <w:rFonts w:cs="Times New Roman"/>
                <w:b/>
                <w:sz w:val="28"/>
                <w:szCs w:val="28"/>
              </w:rPr>
            </w:pPr>
          </w:p>
        </w:tc>
      </w:tr>
      <w:tr w:rsidR="00193FCA" w:rsidRPr="002227F4" w14:paraId="33B082D6" w14:textId="77777777" w:rsidTr="000E798B">
        <w:tc>
          <w:tcPr>
            <w:tcW w:w="4680" w:type="dxa"/>
            <w:gridSpan w:val="2"/>
          </w:tcPr>
          <w:p w14:paraId="3F062C70" w14:textId="0CC34D3C" w:rsidR="00FA7BA4" w:rsidRPr="002227F4" w:rsidRDefault="00FA7BA4" w:rsidP="009B5B8E">
            <w:pPr>
              <w:rPr>
                <w:rFonts w:cs="Times New Roman"/>
                <w:sz w:val="20"/>
                <w:szCs w:val="20"/>
              </w:rPr>
            </w:pPr>
            <w:r w:rsidRPr="002227F4">
              <w:rPr>
                <w:rFonts w:cs="Times New Roman"/>
                <w:b/>
                <w:sz w:val="20"/>
                <w:szCs w:val="20"/>
              </w:rPr>
              <w:t xml:space="preserve">I.4.1 </w:t>
            </w:r>
            <w:r w:rsidRPr="002227F4">
              <w:rPr>
                <w:rFonts w:cs="Times New Roman"/>
                <w:sz w:val="20"/>
                <w:szCs w:val="20"/>
              </w:rPr>
              <w:t>The evaluation of program goals and objectives involves those served: students, faculty, employers, alumni, and other constituents</w:t>
            </w:r>
            <w:r w:rsidR="002844E8" w:rsidRPr="002227F4">
              <w:rPr>
                <w:rFonts w:cs="Times New Roman"/>
                <w:sz w:val="20"/>
                <w:szCs w:val="20"/>
              </w:rPr>
              <w:t>.</w:t>
            </w:r>
          </w:p>
        </w:tc>
        <w:tc>
          <w:tcPr>
            <w:tcW w:w="3960" w:type="dxa"/>
          </w:tcPr>
          <w:p w14:paraId="6AE3ACD6" w14:textId="77777777" w:rsidR="00FA7BA4" w:rsidRPr="002227F4" w:rsidRDefault="00FA7BA4" w:rsidP="009B5B8E">
            <w:pPr>
              <w:rPr>
                <w:rFonts w:cs="Times New Roman"/>
                <w:b/>
                <w:sz w:val="28"/>
                <w:szCs w:val="28"/>
              </w:rPr>
            </w:pPr>
          </w:p>
        </w:tc>
        <w:tc>
          <w:tcPr>
            <w:tcW w:w="3510" w:type="dxa"/>
          </w:tcPr>
          <w:p w14:paraId="3B6A7A04" w14:textId="77777777" w:rsidR="00FA7BA4" w:rsidRPr="002227F4" w:rsidRDefault="00FA7BA4" w:rsidP="00620E48">
            <w:pPr>
              <w:rPr>
                <w:rFonts w:cs="Times New Roman"/>
                <w:b/>
                <w:sz w:val="28"/>
                <w:szCs w:val="28"/>
              </w:rPr>
            </w:pPr>
          </w:p>
        </w:tc>
        <w:tc>
          <w:tcPr>
            <w:tcW w:w="1980" w:type="dxa"/>
          </w:tcPr>
          <w:p w14:paraId="7ED7B10F" w14:textId="77777777" w:rsidR="00FA7BA4" w:rsidRPr="002227F4" w:rsidRDefault="00FA7BA4" w:rsidP="00620E48">
            <w:pPr>
              <w:rPr>
                <w:rFonts w:cs="Times New Roman"/>
                <w:b/>
                <w:sz w:val="28"/>
                <w:szCs w:val="28"/>
              </w:rPr>
            </w:pPr>
          </w:p>
        </w:tc>
      </w:tr>
      <w:tr w:rsidR="00193FCA" w:rsidRPr="002227F4" w14:paraId="3D78B0F6" w14:textId="77777777" w:rsidTr="000E798B">
        <w:tc>
          <w:tcPr>
            <w:tcW w:w="4680" w:type="dxa"/>
            <w:gridSpan w:val="2"/>
          </w:tcPr>
          <w:p w14:paraId="1D7DB928" w14:textId="736F6BA1" w:rsidR="00FA7BA4" w:rsidRPr="002227F4" w:rsidRDefault="00FA7BA4" w:rsidP="009B5B8E">
            <w:pPr>
              <w:rPr>
                <w:rFonts w:cs="Times New Roman"/>
                <w:b/>
                <w:sz w:val="20"/>
                <w:szCs w:val="20"/>
              </w:rPr>
            </w:pPr>
            <w:r w:rsidRPr="002227F4">
              <w:rPr>
                <w:rFonts w:cs="Times New Roman"/>
                <w:b/>
                <w:sz w:val="20"/>
                <w:szCs w:val="20"/>
              </w:rPr>
              <w:t xml:space="preserve">I.5 </w:t>
            </w:r>
            <w:r w:rsidRPr="002227F4">
              <w:rPr>
                <w:rFonts w:cs="Times New Roman"/>
                <w:sz w:val="20"/>
                <w:szCs w:val="20"/>
              </w:rPr>
              <w:t>The program has explicit, documented evidence of its ongoing decision-making processes and the data to substantiate the evaluation of the program’s success in achieving its mission, goals and objectives.</w:t>
            </w:r>
          </w:p>
        </w:tc>
        <w:tc>
          <w:tcPr>
            <w:tcW w:w="3960" w:type="dxa"/>
          </w:tcPr>
          <w:p w14:paraId="7B34EDD2" w14:textId="77777777" w:rsidR="00FA7BA4" w:rsidRPr="002227F4" w:rsidRDefault="00FA7BA4" w:rsidP="009B5B8E">
            <w:pPr>
              <w:rPr>
                <w:rFonts w:cs="Times New Roman"/>
                <w:b/>
                <w:sz w:val="28"/>
                <w:szCs w:val="28"/>
              </w:rPr>
            </w:pPr>
          </w:p>
        </w:tc>
        <w:tc>
          <w:tcPr>
            <w:tcW w:w="3510" w:type="dxa"/>
          </w:tcPr>
          <w:p w14:paraId="38949DA1" w14:textId="77777777" w:rsidR="00FA7BA4" w:rsidRPr="002227F4" w:rsidRDefault="00FA7BA4" w:rsidP="00620E48">
            <w:pPr>
              <w:rPr>
                <w:rFonts w:cs="Times New Roman"/>
                <w:b/>
                <w:sz w:val="28"/>
                <w:szCs w:val="28"/>
              </w:rPr>
            </w:pPr>
          </w:p>
        </w:tc>
        <w:tc>
          <w:tcPr>
            <w:tcW w:w="1980" w:type="dxa"/>
          </w:tcPr>
          <w:p w14:paraId="38700B92" w14:textId="77777777" w:rsidR="00FA7BA4" w:rsidRPr="002227F4" w:rsidRDefault="00FA7BA4" w:rsidP="00620E48">
            <w:pPr>
              <w:rPr>
                <w:rFonts w:cs="Times New Roman"/>
                <w:b/>
                <w:sz w:val="28"/>
                <w:szCs w:val="28"/>
              </w:rPr>
            </w:pPr>
          </w:p>
        </w:tc>
      </w:tr>
      <w:tr w:rsidR="00193FCA" w:rsidRPr="002227F4" w14:paraId="70E7F78F" w14:textId="3A80739B" w:rsidTr="000E798B">
        <w:tc>
          <w:tcPr>
            <w:tcW w:w="4680" w:type="dxa"/>
            <w:gridSpan w:val="2"/>
          </w:tcPr>
          <w:p w14:paraId="629C83B2" w14:textId="27F52381" w:rsidR="002D7287" w:rsidRPr="002227F4" w:rsidRDefault="002D7287" w:rsidP="009B5B8E">
            <w:pPr>
              <w:rPr>
                <w:rFonts w:cs="Times New Roman"/>
                <w:sz w:val="20"/>
                <w:szCs w:val="20"/>
              </w:rPr>
            </w:pPr>
            <w:r w:rsidRPr="002227F4">
              <w:rPr>
                <w:rFonts w:cs="Times New Roman"/>
                <w:b/>
                <w:sz w:val="20"/>
                <w:szCs w:val="20"/>
              </w:rPr>
              <w:lastRenderedPageBreak/>
              <w:t xml:space="preserve">I.6 </w:t>
            </w:r>
            <w:r w:rsidR="00FA7BA4" w:rsidRPr="002227F4">
              <w:rPr>
                <w:rFonts w:cs="Times New Roman"/>
                <w:sz w:val="20"/>
                <w:szCs w:val="20"/>
              </w:rPr>
              <w:t>The program demonstrates how the results of the evaluation are systematically used to improve the program and to plan for the future.</w:t>
            </w:r>
          </w:p>
        </w:tc>
        <w:tc>
          <w:tcPr>
            <w:tcW w:w="3960" w:type="dxa"/>
          </w:tcPr>
          <w:p w14:paraId="10F061E3" w14:textId="77777777" w:rsidR="002D7287" w:rsidRPr="002227F4" w:rsidRDefault="002D7287" w:rsidP="009B5B8E">
            <w:pPr>
              <w:rPr>
                <w:rFonts w:cs="Times New Roman"/>
                <w:b/>
                <w:sz w:val="28"/>
                <w:szCs w:val="28"/>
              </w:rPr>
            </w:pPr>
          </w:p>
        </w:tc>
        <w:tc>
          <w:tcPr>
            <w:tcW w:w="3510" w:type="dxa"/>
          </w:tcPr>
          <w:p w14:paraId="596901CE" w14:textId="77777777" w:rsidR="002D7287" w:rsidRPr="002227F4" w:rsidRDefault="002D7287" w:rsidP="00620E48">
            <w:pPr>
              <w:rPr>
                <w:rFonts w:cs="Times New Roman"/>
                <w:b/>
                <w:sz w:val="28"/>
                <w:szCs w:val="28"/>
              </w:rPr>
            </w:pPr>
          </w:p>
        </w:tc>
        <w:tc>
          <w:tcPr>
            <w:tcW w:w="1980" w:type="dxa"/>
          </w:tcPr>
          <w:p w14:paraId="6CDFC4AB" w14:textId="77777777" w:rsidR="002D7287" w:rsidRPr="002227F4" w:rsidRDefault="002D7287" w:rsidP="00620E48">
            <w:pPr>
              <w:rPr>
                <w:rFonts w:cs="Times New Roman"/>
                <w:b/>
                <w:sz w:val="28"/>
                <w:szCs w:val="28"/>
              </w:rPr>
            </w:pPr>
          </w:p>
        </w:tc>
      </w:tr>
      <w:tr w:rsidR="00205FCF" w:rsidRPr="002227F4" w14:paraId="45FE56F0" w14:textId="77777777" w:rsidTr="000E798B">
        <w:trPr>
          <w:trHeight w:val="989"/>
        </w:trPr>
        <w:tc>
          <w:tcPr>
            <w:tcW w:w="14130" w:type="dxa"/>
            <w:gridSpan w:val="5"/>
          </w:tcPr>
          <w:p w14:paraId="51626D46" w14:textId="77777777" w:rsidR="00205FCF" w:rsidRPr="002227F4" w:rsidRDefault="00205FCF" w:rsidP="009B5B8E">
            <w:pPr>
              <w:rPr>
                <w:rFonts w:cs="Times New Roman"/>
                <w:b/>
                <w:sz w:val="20"/>
                <w:szCs w:val="20"/>
              </w:rPr>
            </w:pPr>
            <w:r w:rsidRPr="002227F4">
              <w:rPr>
                <w:rFonts w:cs="Times New Roman"/>
                <w:b/>
                <w:sz w:val="20"/>
                <w:szCs w:val="20"/>
              </w:rPr>
              <w:t>Summary: Standard I</w:t>
            </w:r>
          </w:p>
          <w:p w14:paraId="4806ED45" w14:textId="77777777" w:rsidR="00205FCF" w:rsidRPr="002227F4" w:rsidRDefault="00205FCF" w:rsidP="009B5B8E">
            <w:pPr>
              <w:rPr>
                <w:rFonts w:cs="Times New Roman"/>
                <w:b/>
                <w:sz w:val="20"/>
                <w:szCs w:val="20"/>
              </w:rPr>
            </w:pPr>
          </w:p>
          <w:p w14:paraId="4CC95DE9" w14:textId="77777777" w:rsidR="00205FCF" w:rsidRPr="002227F4" w:rsidRDefault="00205FCF" w:rsidP="009B5B8E">
            <w:pPr>
              <w:rPr>
                <w:rFonts w:cs="Times New Roman"/>
                <w:b/>
                <w:sz w:val="20"/>
                <w:szCs w:val="20"/>
              </w:rPr>
            </w:pPr>
          </w:p>
          <w:p w14:paraId="6424986C" w14:textId="77777777" w:rsidR="00205FCF" w:rsidRPr="002227F4" w:rsidRDefault="00205FCF" w:rsidP="009B5B8E">
            <w:pPr>
              <w:rPr>
                <w:rFonts w:cs="Times New Roman"/>
                <w:b/>
                <w:sz w:val="20"/>
                <w:szCs w:val="20"/>
              </w:rPr>
            </w:pPr>
          </w:p>
          <w:p w14:paraId="3EE72EE2" w14:textId="77777777" w:rsidR="00205FCF" w:rsidRPr="002227F4" w:rsidRDefault="00205FCF" w:rsidP="00620E48">
            <w:pPr>
              <w:rPr>
                <w:rFonts w:cs="Times New Roman"/>
                <w:b/>
                <w:sz w:val="28"/>
                <w:szCs w:val="28"/>
              </w:rPr>
            </w:pPr>
          </w:p>
        </w:tc>
      </w:tr>
      <w:tr w:rsidR="00AF3B21" w:rsidRPr="002227F4" w14:paraId="52102A0C" w14:textId="5F88B946" w:rsidTr="000E798B">
        <w:tc>
          <w:tcPr>
            <w:tcW w:w="4410" w:type="dxa"/>
            <w:shd w:val="clear" w:color="auto" w:fill="BFBFBF" w:themeFill="background1" w:themeFillShade="BF"/>
          </w:tcPr>
          <w:p w14:paraId="17870EC3" w14:textId="77777777" w:rsidR="00AF3B21" w:rsidRPr="002227F4" w:rsidRDefault="00AF3B21" w:rsidP="009B5B8E">
            <w:pPr>
              <w:rPr>
                <w:rFonts w:eastAsia="Times New Roman" w:cs="Times New Roman"/>
                <w:b/>
                <w:sz w:val="24"/>
                <w:szCs w:val="24"/>
              </w:rPr>
            </w:pPr>
            <w:r w:rsidRPr="002227F4">
              <w:rPr>
                <w:rFonts w:eastAsia="Times New Roman" w:cs="Times New Roman"/>
                <w:b/>
                <w:sz w:val="24"/>
                <w:szCs w:val="24"/>
              </w:rPr>
              <w:t>II Curriculum</w:t>
            </w:r>
          </w:p>
        </w:tc>
        <w:tc>
          <w:tcPr>
            <w:tcW w:w="4230" w:type="dxa"/>
            <w:gridSpan w:val="2"/>
            <w:shd w:val="clear" w:color="auto" w:fill="BFBFBF" w:themeFill="background1" w:themeFillShade="BF"/>
          </w:tcPr>
          <w:p w14:paraId="26241A42" w14:textId="505F08E3" w:rsidR="00AF3B21" w:rsidRPr="002227F4" w:rsidRDefault="001F4AE4" w:rsidP="009B5B8E">
            <w:pPr>
              <w:rPr>
                <w:rFonts w:eastAsia="Times New Roman" w:cs="Times New Roman"/>
                <w:b/>
                <w:sz w:val="24"/>
                <w:szCs w:val="24"/>
              </w:rPr>
            </w:pPr>
            <w:r w:rsidRPr="001F4AE4">
              <w:rPr>
                <w:b/>
                <w:sz w:val="20"/>
                <w:szCs w:val="20"/>
              </w:rPr>
              <w:t>Source/Assertion</w:t>
            </w:r>
          </w:p>
        </w:tc>
        <w:tc>
          <w:tcPr>
            <w:tcW w:w="3510" w:type="dxa"/>
            <w:shd w:val="clear" w:color="auto" w:fill="BFBFBF" w:themeFill="background1" w:themeFillShade="BF"/>
          </w:tcPr>
          <w:p w14:paraId="70E32FDE" w14:textId="62C94B68" w:rsidR="00AF3B21" w:rsidRPr="002227F4" w:rsidRDefault="001F4AE4" w:rsidP="00620E48">
            <w:pPr>
              <w:rPr>
                <w:rFonts w:eastAsia="Times New Roman" w:cs="Times New Roman"/>
                <w:b/>
                <w:sz w:val="24"/>
                <w:szCs w:val="24"/>
              </w:rPr>
            </w:pPr>
            <w:r w:rsidRPr="001F4AE4">
              <w:rPr>
                <w:b/>
                <w:sz w:val="20"/>
                <w:szCs w:val="20"/>
              </w:rPr>
              <w:t>Evidence verified</w:t>
            </w:r>
          </w:p>
        </w:tc>
        <w:tc>
          <w:tcPr>
            <w:tcW w:w="1980" w:type="dxa"/>
            <w:shd w:val="clear" w:color="auto" w:fill="BFBFBF" w:themeFill="background1" w:themeFillShade="BF"/>
          </w:tcPr>
          <w:p w14:paraId="1B3894AA" w14:textId="52132659" w:rsidR="00AF3B21" w:rsidRPr="002227F4" w:rsidRDefault="005207C1" w:rsidP="0088067E">
            <w:pPr>
              <w:jc w:val="center"/>
              <w:rPr>
                <w:rFonts w:eastAsia="Times New Roman" w:cs="Times New Roman"/>
                <w:b/>
                <w:sz w:val="24"/>
                <w:szCs w:val="24"/>
              </w:rPr>
            </w:pPr>
            <w:r w:rsidRPr="005207C1">
              <w:rPr>
                <w:b/>
                <w:sz w:val="20"/>
                <w:szCs w:val="20"/>
              </w:rPr>
              <w:t>Evidence supports compliance?</w:t>
            </w:r>
          </w:p>
        </w:tc>
      </w:tr>
      <w:tr w:rsidR="00193FCA" w:rsidRPr="002227F4" w14:paraId="0E8E5775" w14:textId="64ABF640" w:rsidTr="000E798B">
        <w:tc>
          <w:tcPr>
            <w:tcW w:w="4410" w:type="dxa"/>
          </w:tcPr>
          <w:p w14:paraId="03EB30C9" w14:textId="2CD9B53C" w:rsidR="002D7287" w:rsidRPr="002227F4" w:rsidRDefault="002D7287" w:rsidP="009B5B8E">
            <w:pPr>
              <w:rPr>
                <w:rFonts w:cs="Times New Roman"/>
                <w:sz w:val="20"/>
                <w:szCs w:val="20"/>
              </w:rPr>
            </w:pPr>
            <w:r w:rsidRPr="002227F4">
              <w:rPr>
                <w:rFonts w:cs="Times New Roman"/>
                <w:b/>
                <w:sz w:val="20"/>
                <w:szCs w:val="20"/>
              </w:rPr>
              <w:t xml:space="preserve">II.1 </w:t>
            </w:r>
            <w:r w:rsidR="00FA7BA4" w:rsidRPr="002227F4">
              <w:rPr>
                <w:rFonts w:cs="Times New Roman"/>
                <w:sz w:val="20"/>
                <w:szCs w:val="20"/>
              </w:rPr>
              <w:t>The curriculum is based on goals and objectives, and evolves in response to an ongoing systematic planning process involving representation from all constituencies. Within this general framework, the curriculum provides, through a variety of educational experiences, for the study of theory, principles, practice, and legal and ethical issues and values necessary for the provision of service in libraries and information agencies and in other contexts. The curriculum is revised regularly to keep it current.</w:t>
            </w:r>
          </w:p>
        </w:tc>
        <w:tc>
          <w:tcPr>
            <w:tcW w:w="4230" w:type="dxa"/>
            <w:gridSpan w:val="2"/>
          </w:tcPr>
          <w:p w14:paraId="70BB49B0" w14:textId="77777777" w:rsidR="002D7287" w:rsidRPr="002227F4" w:rsidRDefault="002D7287" w:rsidP="009B5B8E">
            <w:pPr>
              <w:rPr>
                <w:rFonts w:cs="Times New Roman"/>
                <w:b/>
                <w:sz w:val="24"/>
                <w:szCs w:val="24"/>
              </w:rPr>
            </w:pPr>
          </w:p>
          <w:p w14:paraId="5C06DE63" w14:textId="77777777" w:rsidR="002D7287" w:rsidRPr="002227F4" w:rsidRDefault="002D7287" w:rsidP="009B5B8E">
            <w:pPr>
              <w:rPr>
                <w:rFonts w:cs="Times New Roman"/>
                <w:b/>
                <w:sz w:val="24"/>
                <w:szCs w:val="24"/>
              </w:rPr>
            </w:pPr>
          </w:p>
        </w:tc>
        <w:tc>
          <w:tcPr>
            <w:tcW w:w="3510" w:type="dxa"/>
          </w:tcPr>
          <w:p w14:paraId="4618B8AA" w14:textId="77777777" w:rsidR="002D7287" w:rsidRPr="002227F4" w:rsidRDefault="002D7287" w:rsidP="00ED4673">
            <w:pPr>
              <w:rPr>
                <w:rFonts w:cs="Times New Roman"/>
                <w:b/>
                <w:sz w:val="24"/>
                <w:szCs w:val="24"/>
              </w:rPr>
            </w:pPr>
          </w:p>
        </w:tc>
        <w:tc>
          <w:tcPr>
            <w:tcW w:w="1980" w:type="dxa"/>
          </w:tcPr>
          <w:p w14:paraId="3412F3CE" w14:textId="77777777" w:rsidR="002D7287" w:rsidRPr="002227F4" w:rsidRDefault="002D7287" w:rsidP="00ED4673">
            <w:pPr>
              <w:rPr>
                <w:rFonts w:cs="Times New Roman"/>
                <w:b/>
                <w:sz w:val="24"/>
                <w:szCs w:val="24"/>
              </w:rPr>
            </w:pPr>
          </w:p>
        </w:tc>
      </w:tr>
      <w:tr w:rsidR="00193FCA" w:rsidRPr="002227F4" w14:paraId="49A0BFFF" w14:textId="561FF7A8" w:rsidTr="000E798B">
        <w:tc>
          <w:tcPr>
            <w:tcW w:w="4410" w:type="dxa"/>
          </w:tcPr>
          <w:p w14:paraId="05BDCEAB" w14:textId="061FAE48" w:rsidR="002D7287" w:rsidRPr="002227F4" w:rsidRDefault="002D7287" w:rsidP="009B5B8E">
            <w:pPr>
              <w:rPr>
                <w:rFonts w:cs="Times New Roman"/>
                <w:sz w:val="20"/>
                <w:szCs w:val="20"/>
              </w:rPr>
            </w:pPr>
            <w:r w:rsidRPr="002227F4">
              <w:rPr>
                <w:rFonts w:cs="Times New Roman"/>
                <w:b/>
                <w:sz w:val="20"/>
                <w:szCs w:val="20"/>
              </w:rPr>
              <w:t xml:space="preserve">II.2 </w:t>
            </w:r>
            <w:r w:rsidR="00FA7BA4" w:rsidRPr="002227F4">
              <w:rPr>
                <w:rFonts w:cs="Times New Roman"/>
                <w:sz w:val="20"/>
                <w:szCs w:val="20"/>
              </w:rPr>
              <w:t>The curriculum is concerned with information resources and the services and technologies to facilitate their management and use. Within this overarching concept, the curriculum of library and information studies encompasses information and knowledge creation, communication, identification, selection, acquisition, organization and description, storage and retrieval, preservation and curation, analysis, interpretation, evaluation, synthesis, dissemination, use and users, and management of human and information resources.</w:t>
            </w:r>
          </w:p>
        </w:tc>
        <w:tc>
          <w:tcPr>
            <w:tcW w:w="4230" w:type="dxa"/>
            <w:gridSpan w:val="2"/>
          </w:tcPr>
          <w:p w14:paraId="5DAE1B36" w14:textId="77777777" w:rsidR="002D7287" w:rsidRPr="002227F4" w:rsidRDefault="002D7287" w:rsidP="009B5B8E">
            <w:pPr>
              <w:rPr>
                <w:rFonts w:cs="Times New Roman"/>
                <w:b/>
                <w:sz w:val="24"/>
                <w:szCs w:val="24"/>
              </w:rPr>
            </w:pPr>
          </w:p>
          <w:p w14:paraId="7B56BD15" w14:textId="77777777" w:rsidR="002D7287" w:rsidRPr="002227F4" w:rsidRDefault="002D7287" w:rsidP="009B5B8E">
            <w:pPr>
              <w:rPr>
                <w:rFonts w:cs="Times New Roman"/>
                <w:b/>
                <w:sz w:val="24"/>
                <w:szCs w:val="24"/>
              </w:rPr>
            </w:pPr>
          </w:p>
        </w:tc>
        <w:tc>
          <w:tcPr>
            <w:tcW w:w="3510" w:type="dxa"/>
          </w:tcPr>
          <w:p w14:paraId="38FE85A0" w14:textId="77777777" w:rsidR="002D7287" w:rsidRPr="002227F4" w:rsidRDefault="002D7287" w:rsidP="00ED4673">
            <w:pPr>
              <w:rPr>
                <w:rFonts w:cs="Times New Roman"/>
                <w:b/>
                <w:sz w:val="24"/>
                <w:szCs w:val="24"/>
              </w:rPr>
            </w:pPr>
          </w:p>
        </w:tc>
        <w:tc>
          <w:tcPr>
            <w:tcW w:w="1980" w:type="dxa"/>
          </w:tcPr>
          <w:p w14:paraId="236CCF5C" w14:textId="77777777" w:rsidR="002D7287" w:rsidRPr="002227F4" w:rsidRDefault="002D7287" w:rsidP="00ED4673">
            <w:pPr>
              <w:rPr>
                <w:rFonts w:cs="Times New Roman"/>
                <w:b/>
                <w:sz w:val="24"/>
                <w:szCs w:val="24"/>
              </w:rPr>
            </w:pPr>
          </w:p>
        </w:tc>
      </w:tr>
      <w:tr w:rsidR="00193FCA" w:rsidRPr="002227F4" w14:paraId="38288522" w14:textId="77777777" w:rsidTr="000E798B">
        <w:tc>
          <w:tcPr>
            <w:tcW w:w="4410" w:type="dxa"/>
          </w:tcPr>
          <w:p w14:paraId="48C26C1A" w14:textId="17B9DC89" w:rsidR="00FA7BA4" w:rsidRPr="002227F4" w:rsidRDefault="00FA7BA4" w:rsidP="009B5B8E">
            <w:pPr>
              <w:rPr>
                <w:rFonts w:cs="Times New Roman"/>
                <w:b/>
                <w:sz w:val="20"/>
                <w:szCs w:val="20"/>
              </w:rPr>
            </w:pPr>
            <w:r w:rsidRPr="002227F4">
              <w:rPr>
                <w:rFonts w:cs="Times New Roman"/>
                <w:b/>
                <w:sz w:val="20"/>
                <w:szCs w:val="20"/>
              </w:rPr>
              <w:t xml:space="preserve">II.2.1 </w:t>
            </w:r>
            <w:r w:rsidRPr="002227F4">
              <w:rPr>
                <w:rFonts w:cs="Times New Roman"/>
                <w:sz w:val="20"/>
                <w:szCs w:val="20"/>
              </w:rPr>
              <w:t>Fosters development of library and information professionals who will assume a leadership role in providing services and collections appropriate for the communities that are served</w:t>
            </w:r>
            <w:r w:rsidRPr="002227F4">
              <w:rPr>
                <w:rFonts w:cs="Times New Roman"/>
                <w:b/>
                <w:sz w:val="20"/>
                <w:szCs w:val="20"/>
              </w:rPr>
              <w:t>;</w:t>
            </w:r>
          </w:p>
        </w:tc>
        <w:tc>
          <w:tcPr>
            <w:tcW w:w="4230" w:type="dxa"/>
            <w:gridSpan w:val="2"/>
          </w:tcPr>
          <w:p w14:paraId="65B9F8BC" w14:textId="77777777" w:rsidR="00FA7BA4" w:rsidRPr="002227F4" w:rsidRDefault="00FA7BA4" w:rsidP="009B5B8E">
            <w:pPr>
              <w:rPr>
                <w:rFonts w:cs="Times New Roman"/>
                <w:b/>
                <w:sz w:val="24"/>
                <w:szCs w:val="24"/>
              </w:rPr>
            </w:pPr>
          </w:p>
        </w:tc>
        <w:tc>
          <w:tcPr>
            <w:tcW w:w="3510" w:type="dxa"/>
          </w:tcPr>
          <w:p w14:paraId="2A883597" w14:textId="77777777" w:rsidR="00FA7BA4" w:rsidRPr="002227F4" w:rsidRDefault="00FA7BA4" w:rsidP="00ED4673">
            <w:pPr>
              <w:rPr>
                <w:rFonts w:cs="Times New Roman"/>
                <w:b/>
                <w:sz w:val="24"/>
                <w:szCs w:val="24"/>
              </w:rPr>
            </w:pPr>
          </w:p>
        </w:tc>
        <w:tc>
          <w:tcPr>
            <w:tcW w:w="1980" w:type="dxa"/>
          </w:tcPr>
          <w:p w14:paraId="467CADE8" w14:textId="77777777" w:rsidR="00FA7BA4" w:rsidRPr="002227F4" w:rsidRDefault="00FA7BA4" w:rsidP="00ED4673">
            <w:pPr>
              <w:rPr>
                <w:rFonts w:cs="Times New Roman"/>
                <w:b/>
                <w:sz w:val="24"/>
                <w:szCs w:val="24"/>
              </w:rPr>
            </w:pPr>
          </w:p>
        </w:tc>
      </w:tr>
      <w:tr w:rsidR="00193FCA" w:rsidRPr="002227F4" w14:paraId="7834F08A" w14:textId="77777777" w:rsidTr="000E798B">
        <w:tc>
          <w:tcPr>
            <w:tcW w:w="4410" w:type="dxa"/>
          </w:tcPr>
          <w:p w14:paraId="5DEFFB84" w14:textId="182CAD31" w:rsidR="002A6ADF" w:rsidRPr="002227F4" w:rsidRDefault="002A6ADF" w:rsidP="009B5B8E">
            <w:pPr>
              <w:rPr>
                <w:rFonts w:cs="Times New Roman"/>
                <w:b/>
                <w:sz w:val="20"/>
                <w:szCs w:val="20"/>
              </w:rPr>
            </w:pPr>
            <w:r w:rsidRPr="002227F4">
              <w:rPr>
                <w:rFonts w:cs="Times New Roman"/>
                <w:b/>
                <w:sz w:val="20"/>
                <w:szCs w:val="20"/>
              </w:rPr>
              <w:t xml:space="preserve">II.2.2 </w:t>
            </w:r>
            <w:r w:rsidRPr="002227F4">
              <w:rPr>
                <w:rFonts w:cs="Times New Roman"/>
                <w:sz w:val="20"/>
                <w:szCs w:val="20"/>
              </w:rPr>
              <w:t>Emphasizes an evolving body of knowledge that reflects the findings of basic and applied research from relevant fields;</w:t>
            </w:r>
          </w:p>
        </w:tc>
        <w:tc>
          <w:tcPr>
            <w:tcW w:w="4230" w:type="dxa"/>
            <w:gridSpan w:val="2"/>
          </w:tcPr>
          <w:p w14:paraId="5A90E5D8" w14:textId="77777777" w:rsidR="002A6ADF" w:rsidRPr="002227F4" w:rsidRDefault="002A6ADF" w:rsidP="009B5B8E">
            <w:pPr>
              <w:rPr>
                <w:rFonts w:cs="Times New Roman"/>
                <w:b/>
                <w:sz w:val="24"/>
                <w:szCs w:val="24"/>
              </w:rPr>
            </w:pPr>
          </w:p>
        </w:tc>
        <w:tc>
          <w:tcPr>
            <w:tcW w:w="3510" w:type="dxa"/>
          </w:tcPr>
          <w:p w14:paraId="03CE8915" w14:textId="77777777" w:rsidR="002A6ADF" w:rsidRPr="002227F4" w:rsidRDefault="002A6ADF" w:rsidP="00ED4673">
            <w:pPr>
              <w:rPr>
                <w:rFonts w:cs="Times New Roman"/>
                <w:b/>
                <w:sz w:val="24"/>
                <w:szCs w:val="24"/>
              </w:rPr>
            </w:pPr>
          </w:p>
        </w:tc>
        <w:tc>
          <w:tcPr>
            <w:tcW w:w="1980" w:type="dxa"/>
          </w:tcPr>
          <w:p w14:paraId="256D968A" w14:textId="77777777" w:rsidR="002A6ADF" w:rsidRPr="002227F4" w:rsidRDefault="002A6ADF" w:rsidP="00ED4673">
            <w:pPr>
              <w:rPr>
                <w:rFonts w:cs="Times New Roman"/>
                <w:b/>
                <w:sz w:val="24"/>
                <w:szCs w:val="24"/>
              </w:rPr>
            </w:pPr>
          </w:p>
        </w:tc>
      </w:tr>
      <w:tr w:rsidR="00193FCA" w:rsidRPr="002227F4" w14:paraId="000F4CF4" w14:textId="77777777" w:rsidTr="000E798B">
        <w:tc>
          <w:tcPr>
            <w:tcW w:w="4410" w:type="dxa"/>
          </w:tcPr>
          <w:p w14:paraId="12E93948" w14:textId="3A65DCF6" w:rsidR="002A6ADF" w:rsidRPr="002227F4" w:rsidRDefault="002A6ADF" w:rsidP="009B5B8E">
            <w:pPr>
              <w:rPr>
                <w:rFonts w:cs="Times New Roman"/>
                <w:b/>
                <w:sz w:val="20"/>
                <w:szCs w:val="20"/>
              </w:rPr>
            </w:pPr>
            <w:r w:rsidRPr="002227F4">
              <w:rPr>
                <w:rFonts w:cs="Times New Roman"/>
                <w:b/>
                <w:sz w:val="20"/>
                <w:szCs w:val="20"/>
              </w:rPr>
              <w:lastRenderedPageBreak/>
              <w:t xml:space="preserve">II.2.3 </w:t>
            </w:r>
            <w:r w:rsidRPr="002227F4">
              <w:rPr>
                <w:rFonts w:cs="Times New Roman"/>
                <w:sz w:val="20"/>
                <w:szCs w:val="20"/>
              </w:rPr>
              <w:t>Integrates technology and the theories that underpin its design, application, and use;</w:t>
            </w:r>
          </w:p>
        </w:tc>
        <w:tc>
          <w:tcPr>
            <w:tcW w:w="4230" w:type="dxa"/>
            <w:gridSpan w:val="2"/>
          </w:tcPr>
          <w:p w14:paraId="18472E37" w14:textId="77777777" w:rsidR="002A6ADF" w:rsidRPr="002227F4" w:rsidRDefault="002A6ADF" w:rsidP="009B5B8E">
            <w:pPr>
              <w:rPr>
                <w:rFonts w:cs="Times New Roman"/>
                <w:b/>
                <w:sz w:val="24"/>
                <w:szCs w:val="24"/>
              </w:rPr>
            </w:pPr>
          </w:p>
        </w:tc>
        <w:tc>
          <w:tcPr>
            <w:tcW w:w="3510" w:type="dxa"/>
          </w:tcPr>
          <w:p w14:paraId="7DC4AA26" w14:textId="77777777" w:rsidR="002A6ADF" w:rsidRPr="002227F4" w:rsidRDefault="002A6ADF" w:rsidP="00ED4673">
            <w:pPr>
              <w:rPr>
                <w:rFonts w:cs="Times New Roman"/>
                <w:b/>
                <w:sz w:val="24"/>
                <w:szCs w:val="24"/>
              </w:rPr>
            </w:pPr>
          </w:p>
        </w:tc>
        <w:tc>
          <w:tcPr>
            <w:tcW w:w="1980" w:type="dxa"/>
          </w:tcPr>
          <w:p w14:paraId="7CC08084" w14:textId="77777777" w:rsidR="002A6ADF" w:rsidRPr="002227F4" w:rsidRDefault="002A6ADF" w:rsidP="00ED4673">
            <w:pPr>
              <w:rPr>
                <w:rFonts w:cs="Times New Roman"/>
                <w:b/>
                <w:sz w:val="24"/>
                <w:szCs w:val="24"/>
              </w:rPr>
            </w:pPr>
          </w:p>
        </w:tc>
      </w:tr>
      <w:tr w:rsidR="00193FCA" w:rsidRPr="002227F4" w14:paraId="6008ABD9" w14:textId="77777777" w:rsidTr="000E798B">
        <w:tc>
          <w:tcPr>
            <w:tcW w:w="4410" w:type="dxa"/>
          </w:tcPr>
          <w:p w14:paraId="7D004860" w14:textId="48449AE6" w:rsidR="002A6ADF" w:rsidRPr="002227F4" w:rsidRDefault="002A6ADF" w:rsidP="009B5B8E">
            <w:pPr>
              <w:rPr>
                <w:rFonts w:cs="Times New Roman"/>
                <w:b/>
                <w:sz w:val="20"/>
                <w:szCs w:val="20"/>
              </w:rPr>
            </w:pPr>
            <w:r w:rsidRPr="002227F4">
              <w:rPr>
                <w:rFonts w:cs="Times New Roman"/>
                <w:b/>
                <w:sz w:val="20"/>
                <w:szCs w:val="20"/>
              </w:rPr>
              <w:t xml:space="preserve">II.2.4 </w:t>
            </w:r>
            <w:r w:rsidRPr="002227F4">
              <w:rPr>
                <w:rFonts w:cs="Times New Roman"/>
                <w:sz w:val="20"/>
                <w:szCs w:val="20"/>
              </w:rPr>
              <w:t>Responds to the needs of a diverse and global society, including the needs of underserved groups</w:t>
            </w:r>
            <w:r w:rsidRPr="002227F4">
              <w:rPr>
                <w:rFonts w:cs="Times New Roman"/>
                <w:b/>
                <w:sz w:val="20"/>
                <w:szCs w:val="20"/>
              </w:rPr>
              <w:t>;</w:t>
            </w:r>
          </w:p>
        </w:tc>
        <w:tc>
          <w:tcPr>
            <w:tcW w:w="4230" w:type="dxa"/>
            <w:gridSpan w:val="2"/>
          </w:tcPr>
          <w:p w14:paraId="0EE584C9" w14:textId="77777777" w:rsidR="002A6ADF" w:rsidRPr="002227F4" w:rsidRDefault="002A6ADF" w:rsidP="009B5B8E">
            <w:pPr>
              <w:rPr>
                <w:rFonts w:cs="Times New Roman"/>
                <w:b/>
                <w:sz w:val="24"/>
                <w:szCs w:val="24"/>
              </w:rPr>
            </w:pPr>
          </w:p>
        </w:tc>
        <w:tc>
          <w:tcPr>
            <w:tcW w:w="3510" w:type="dxa"/>
          </w:tcPr>
          <w:p w14:paraId="1623DAE1" w14:textId="77777777" w:rsidR="002A6ADF" w:rsidRPr="002227F4" w:rsidRDefault="002A6ADF" w:rsidP="00ED4673">
            <w:pPr>
              <w:rPr>
                <w:rFonts w:cs="Times New Roman"/>
                <w:b/>
                <w:sz w:val="24"/>
                <w:szCs w:val="24"/>
              </w:rPr>
            </w:pPr>
          </w:p>
        </w:tc>
        <w:tc>
          <w:tcPr>
            <w:tcW w:w="1980" w:type="dxa"/>
          </w:tcPr>
          <w:p w14:paraId="7890A4A1" w14:textId="77777777" w:rsidR="002A6ADF" w:rsidRPr="002227F4" w:rsidRDefault="002A6ADF" w:rsidP="00ED4673">
            <w:pPr>
              <w:rPr>
                <w:rFonts w:cs="Times New Roman"/>
                <w:b/>
                <w:sz w:val="24"/>
                <w:szCs w:val="24"/>
              </w:rPr>
            </w:pPr>
          </w:p>
        </w:tc>
      </w:tr>
      <w:tr w:rsidR="00193FCA" w:rsidRPr="002227F4" w14:paraId="133A07D2" w14:textId="77777777" w:rsidTr="000E798B">
        <w:tc>
          <w:tcPr>
            <w:tcW w:w="4410" w:type="dxa"/>
          </w:tcPr>
          <w:p w14:paraId="72A60E3B" w14:textId="6D679D6B" w:rsidR="00FA7BA4" w:rsidRPr="002227F4" w:rsidRDefault="002A6ADF" w:rsidP="009B5B8E">
            <w:pPr>
              <w:rPr>
                <w:rFonts w:cs="Times New Roman"/>
                <w:b/>
                <w:sz w:val="20"/>
                <w:szCs w:val="20"/>
              </w:rPr>
            </w:pPr>
            <w:r w:rsidRPr="002227F4">
              <w:rPr>
                <w:rFonts w:cs="Times New Roman"/>
                <w:b/>
                <w:sz w:val="20"/>
                <w:szCs w:val="20"/>
              </w:rPr>
              <w:t xml:space="preserve">II.2.5 </w:t>
            </w:r>
            <w:r w:rsidRPr="002227F4">
              <w:rPr>
                <w:rFonts w:cs="Times New Roman"/>
                <w:sz w:val="20"/>
                <w:szCs w:val="20"/>
              </w:rPr>
              <w:t>Provides direction for future development of a rapidly changing field;</w:t>
            </w:r>
          </w:p>
        </w:tc>
        <w:tc>
          <w:tcPr>
            <w:tcW w:w="4230" w:type="dxa"/>
            <w:gridSpan w:val="2"/>
          </w:tcPr>
          <w:p w14:paraId="677CDD0A" w14:textId="77777777" w:rsidR="00FA7BA4" w:rsidRPr="002227F4" w:rsidRDefault="00FA7BA4" w:rsidP="009B5B8E">
            <w:pPr>
              <w:rPr>
                <w:rFonts w:cs="Times New Roman"/>
                <w:b/>
                <w:sz w:val="24"/>
                <w:szCs w:val="24"/>
              </w:rPr>
            </w:pPr>
          </w:p>
        </w:tc>
        <w:tc>
          <w:tcPr>
            <w:tcW w:w="3510" w:type="dxa"/>
          </w:tcPr>
          <w:p w14:paraId="3C38A492" w14:textId="77777777" w:rsidR="00FA7BA4" w:rsidRPr="002227F4" w:rsidRDefault="00FA7BA4" w:rsidP="00ED4673">
            <w:pPr>
              <w:rPr>
                <w:rFonts w:cs="Times New Roman"/>
                <w:b/>
                <w:sz w:val="24"/>
                <w:szCs w:val="24"/>
              </w:rPr>
            </w:pPr>
          </w:p>
        </w:tc>
        <w:tc>
          <w:tcPr>
            <w:tcW w:w="1980" w:type="dxa"/>
          </w:tcPr>
          <w:p w14:paraId="640E4A02" w14:textId="77777777" w:rsidR="00FA7BA4" w:rsidRPr="002227F4" w:rsidRDefault="00FA7BA4" w:rsidP="00ED4673">
            <w:pPr>
              <w:rPr>
                <w:rFonts w:cs="Times New Roman"/>
                <w:b/>
                <w:sz w:val="24"/>
                <w:szCs w:val="24"/>
              </w:rPr>
            </w:pPr>
          </w:p>
        </w:tc>
      </w:tr>
      <w:tr w:rsidR="00193FCA" w:rsidRPr="002227F4" w14:paraId="7AFE5C33" w14:textId="77777777" w:rsidTr="000E798B">
        <w:tc>
          <w:tcPr>
            <w:tcW w:w="4410" w:type="dxa"/>
          </w:tcPr>
          <w:p w14:paraId="51C68A8C" w14:textId="548E6AED" w:rsidR="00FA7BA4" w:rsidRPr="002227F4" w:rsidRDefault="002A6ADF" w:rsidP="009B5B8E">
            <w:pPr>
              <w:rPr>
                <w:rFonts w:cs="Times New Roman"/>
                <w:b/>
                <w:sz w:val="20"/>
                <w:szCs w:val="20"/>
              </w:rPr>
            </w:pPr>
            <w:r w:rsidRPr="002227F4">
              <w:rPr>
                <w:rFonts w:cs="Times New Roman"/>
                <w:b/>
                <w:sz w:val="20"/>
                <w:szCs w:val="20"/>
              </w:rPr>
              <w:t xml:space="preserve">II.2.6 </w:t>
            </w:r>
            <w:r w:rsidRPr="002227F4">
              <w:rPr>
                <w:rFonts w:cs="Times New Roman"/>
                <w:sz w:val="20"/>
                <w:szCs w:val="20"/>
              </w:rPr>
              <w:t>Promotes commitment to continuous professional development and lifelong learning, including the skills and competencies that are needed for the practitioner of the future.</w:t>
            </w:r>
          </w:p>
        </w:tc>
        <w:tc>
          <w:tcPr>
            <w:tcW w:w="4230" w:type="dxa"/>
            <w:gridSpan w:val="2"/>
          </w:tcPr>
          <w:p w14:paraId="48BE0E95" w14:textId="77777777" w:rsidR="00FA7BA4" w:rsidRPr="002227F4" w:rsidRDefault="00FA7BA4" w:rsidP="009B5B8E">
            <w:pPr>
              <w:rPr>
                <w:rFonts w:cs="Times New Roman"/>
                <w:b/>
                <w:sz w:val="24"/>
                <w:szCs w:val="24"/>
              </w:rPr>
            </w:pPr>
          </w:p>
        </w:tc>
        <w:tc>
          <w:tcPr>
            <w:tcW w:w="3510" w:type="dxa"/>
          </w:tcPr>
          <w:p w14:paraId="3E42417F" w14:textId="77777777" w:rsidR="00FA7BA4" w:rsidRPr="002227F4" w:rsidRDefault="00FA7BA4" w:rsidP="00ED4673">
            <w:pPr>
              <w:rPr>
                <w:rFonts w:cs="Times New Roman"/>
                <w:b/>
                <w:sz w:val="24"/>
                <w:szCs w:val="24"/>
              </w:rPr>
            </w:pPr>
          </w:p>
        </w:tc>
        <w:tc>
          <w:tcPr>
            <w:tcW w:w="1980" w:type="dxa"/>
          </w:tcPr>
          <w:p w14:paraId="0ED77709" w14:textId="77777777" w:rsidR="00FA7BA4" w:rsidRPr="002227F4" w:rsidRDefault="00FA7BA4" w:rsidP="00ED4673">
            <w:pPr>
              <w:rPr>
                <w:rFonts w:cs="Times New Roman"/>
                <w:b/>
                <w:sz w:val="24"/>
                <w:szCs w:val="24"/>
              </w:rPr>
            </w:pPr>
          </w:p>
        </w:tc>
      </w:tr>
      <w:tr w:rsidR="00193FCA" w:rsidRPr="002227F4" w14:paraId="0FDA9ABD" w14:textId="205BC268" w:rsidTr="000E798B">
        <w:tc>
          <w:tcPr>
            <w:tcW w:w="4410" w:type="dxa"/>
          </w:tcPr>
          <w:p w14:paraId="36F26CBC" w14:textId="275EA129" w:rsidR="002D7287" w:rsidRPr="002227F4" w:rsidRDefault="002D7287" w:rsidP="009B5B8E">
            <w:pPr>
              <w:rPr>
                <w:rFonts w:cs="Times New Roman"/>
                <w:sz w:val="20"/>
                <w:szCs w:val="20"/>
              </w:rPr>
            </w:pPr>
            <w:r w:rsidRPr="002227F4">
              <w:rPr>
                <w:rFonts w:cs="Times New Roman"/>
                <w:b/>
                <w:sz w:val="20"/>
                <w:szCs w:val="20"/>
              </w:rPr>
              <w:t xml:space="preserve">II.3 </w:t>
            </w:r>
            <w:r w:rsidR="002A6ADF" w:rsidRPr="002227F4">
              <w:rPr>
                <w:rFonts w:cs="Times New Roman"/>
                <w:sz w:val="20"/>
                <w:szCs w:val="20"/>
              </w:rPr>
              <w:t>The curriculum provides the opportunity for students to construct coherent programs of study that allow individual needs, goals, and aspirations to be met within the context of program requirements established by the school and that will foster the attainment of student learning outcomes. The curriculum includes as appropriate cooperative degree programs, interdisciplinary coursework and research, experiential opportunities, and other similar activities. Course content and sequence relationships within the curriculum are evident.</w:t>
            </w:r>
          </w:p>
        </w:tc>
        <w:tc>
          <w:tcPr>
            <w:tcW w:w="4230" w:type="dxa"/>
            <w:gridSpan w:val="2"/>
          </w:tcPr>
          <w:p w14:paraId="0D422CA3" w14:textId="77777777" w:rsidR="002D7287" w:rsidRPr="002227F4" w:rsidRDefault="002D7287" w:rsidP="009B5B8E">
            <w:pPr>
              <w:rPr>
                <w:rFonts w:cs="Times New Roman"/>
                <w:b/>
                <w:sz w:val="24"/>
                <w:szCs w:val="24"/>
              </w:rPr>
            </w:pPr>
          </w:p>
          <w:p w14:paraId="3EB70F81" w14:textId="77777777" w:rsidR="002D7287" w:rsidRPr="002227F4" w:rsidRDefault="002D7287" w:rsidP="009B5B8E">
            <w:pPr>
              <w:rPr>
                <w:rFonts w:cs="Times New Roman"/>
                <w:b/>
                <w:sz w:val="24"/>
                <w:szCs w:val="24"/>
              </w:rPr>
            </w:pPr>
          </w:p>
        </w:tc>
        <w:tc>
          <w:tcPr>
            <w:tcW w:w="3510" w:type="dxa"/>
          </w:tcPr>
          <w:p w14:paraId="528FC208" w14:textId="77777777" w:rsidR="002D7287" w:rsidRPr="002227F4" w:rsidRDefault="002D7287" w:rsidP="00ED4673">
            <w:pPr>
              <w:rPr>
                <w:rFonts w:cs="Times New Roman"/>
                <w:b/>
                <w:sz w:val="24"/>
                <w:szCs w:val="24"/>
              </w:rPr>
            </w:pPr>
          </w:p>
        </w:tc>
        <w:tc>
          <w:tcPr>
            <w:tcW w:w="1980" w:type="dxa"/>
          </w:tcPr>
          <w:p w14:paraId="7B3DDC48" w14:textId="77777777" w:rsidR="002D7287" w:rsidRPr="002227F4" w:rsidRDefault="002D7287" w:rsidP="00ED4673">
            <w:pPr>
              <w:rPr>
                <w:rFonts w:cs="Times New Roman"/>
                <w:b/>
                <w:sz w:val="24"/>
                <w:szCs w:val="24"/>
              </w:rPr>
            </w:pPr>
          </w:p>
        </w:tc>
      </w:tr>
      <w:tr w:rsidR="00193FCA" w:rsidRPr="002227F4" w14:paraId="1F07A7EB" w14:textId="0F38A175" w:rsidTr="000E798B">
        <w:tc>
          <w:tcPr>
            <w:tcW w:w="4410" w:type="dxa"/>
          </w:tcPr>
          <w:p w14:paraId="5129E08E" w14:textId="4D6CED68" w:rsidR="002D7287" w:rsidRPr="002227F4" w:rsidRDefault="002D7287" w:rsidP="009B5B8E">
            <w:pPr>
              <w:rPr>
                <w:rFonts w:cs="Times New Roman"/>
                <w:sz w:val="20"/>
                <w:szCs w:val="20"/>
              </w:rPr>
            </w:pPr>
            <w:r w:rsidRPr="002227F4">
              <w:rPr>
                <w:rFonts w:cs="Times New Roman"/>
                <w:b/>
                <w:sz w:val="20"/>
                <w:szCs w:val="20"/>
              </w:rPr>
              <w:t xml:space="preserve">II.4 </w:t>
            </w:r>
            <w:r w:rsidR="002A6ADF" w:rsidRPr="002227F4">
              <w:rPr>
                <w:rFonts w:cs="Times New Roman"/>
                <w:sz w:val="20"/>
                <w:szCs w:val="20"/>
              </w:rPr>
              <w:t>Design of general and specialized curriculum takes into account the statements of knowledge and competencies developed by relevant professional organizations.</w:t>
            </w:r>
          </w:p>
        </w:tc>
        <w:tc>
          <w:tcPr>
            <w:tcW w:w="4230" w:type="dxa"/>
            <w:gridSpan w:val="2"/>
          </w:tcPr>
          <w:p w14:paraId="4E988B64" w14:textId="77777777" w:rsidR="002D7287" w:rsidRPr="002227F4" w:rsidRDefault="002D7287" w:rsidP="009B5B8E">
            <w:pPr>
              <w:rPr>
                <w:rFonts w:cs="Times New Roman"/>
                <w:b/>
                <w:sz w:val="24"/>
                <w:szCs w:val="24"/>
              </w:rPr>
            </w:pPr>
          </w:p>
          <w:p w14:paraId="4D285312" w14:textId="77777777" w:rsidR="002D7287" w:rsidRPr="002227F4" w:rsidRDefault="002D7287" w:rsidP="009B5B8E">
            <w:pPr>
              <w:rPr>
                <w:rFonts w:cs="Times New Roman"/>
                <w:b/>
                <w:sz w:val="24"/>
                <w:szCs w:val="24"/>
              </w:rPr>
            </w:pPr>
          </w:p>
        </w:tc>
        <w:tc>
          <w:tcPr>
            <w:tcW w:w="3510" w:type="dxa"/>
          </w:tcPr>
          <w:p w14:paraId="375EC7FC" w14:textId="77777777" w:rsidR="002D7287" w:rsidRPr="002227F4" w:rsidRDefault="002D7287" w:rsidP="00620E48">
            <w:pPr>
              <w:rPr>
                <w:rFonts w:cs="Times New Roman"/>
                <w:b/>
                <w:sz w:val="24"/>
                <w:szCs w:val="24"/>
              </w:rPr>
            </w:pPr>
          </w:p>
        </w:tc>
        <w:tc>
          <w:tcPr>
            <w:tcW w:w="1980" w:type="dxa"/>
          </w:tcPr>
          <w:p w14:paraId="0A96BD2E" w14:textId="77777777" w:rsidR="002D7287" w:rsidRPr="002227F4" w:rsidRDefault="002D7287" w:rsidP="00620E48">
            <w:pPr>
              <w:rPr>
                <w:rFonts w:cs="Times New Roman"/>
                <w:b/>
                <w:sz w:val="24"/>
                <w:szCs w:val="24"/>
              </w:rPr>
            </w:pPr>
          </w:p>
        </w:tc>
      </w:tr>
      <w:tr w:rsidR="00193FCA" w:rsidRPr="002227F4" w14:paraId="4D49106F" w14:textId="53E43F9D" w:rsidTr="000E798B">
        <w:tc>
          <w:tcPr>
            <w:tcW w:w="4410" w:type="dxa"/>
          </w:tcPr>
          <w:p w14:paraId="03C195B3" w14:textId="68454119" w:rsidR="002D7287" w:rsidRPr="002227F4" w:rsidRDefault="002D7287" w:rsidP="009B5B8E">
            <w:pPr>
              <w:rPr>
                <w:rFonts w:cs="Times New Roman"/>
                <w:sz w:val="20"/>
                <w:szCs w:val="20"/>
              </w:rPr>
            </w:pPr>
            <w:r w:rsidRPr="002227F4">
              <w:rPr>
                <w:rFonts w:cs="Times New Roman"/>
                <w:b/>
                <w:sz w:val="20"/>
                <w:szCs w:val="20"/>
              </w:rPr>
              <w:t xml:space="preserve">II.5 </w:t>
            </w:r>
            <w:r w:rsidR="002A6ADF" w:rsidRPr="002227F4">
              <w:rPr>
                <w:rFonts w:cs="Times New Roman"/>
                <w:sz w:val="20"/>
                <w:szCs w:val="20"/>
              </w:rPr>
              <w:t>Procedures for the continual evaluation of the curriculum are established with input not only from faculty but also representatives from those served. The curriculum is continually evaluated with input not only from faculty but also representatives from those served including students, employers, alumni, and other constituents. Curricular evaluation is used for ongoing appraisal and to make improvements. Evaluation of the curriculum includes assessment of students' achievements</w:t>
            </w:r>
          </w:p>
        </w:tc>
        <w:tc>
          <w:tcPr>
            <w:tcW w:w="4230" w:type="dxa"/>
            <w:gridSpan w:val="2"/>
          </w:tcPr>
          <w:p w14:paraId="3498B7C3" w14:textId="77777777" w:rsidR="002D7287" w:rsidRPr="002227F4" w:rsidRDefault="002D7287" w:rsidP="009B5B8E">
            <w:pPr>
              <w:rPr>
                <w:rFonts w:cs="Times New Roman"/>
                <w:b/>
                <w:sz w:val="24"/>
                <w:szCs w:val="24"/>
              </w:rPr>
            </w:pPr>
          </w:p>
          <w:p w14:paraId="61CE9578" w14:textId="77777777" w:rsidR="002D7287" w:rsidRPr="002227F4" w:rsidRDefault="002D7287" w:rsidP="009B5B8E">
            <w:pPr>
              <w:rPr>
                <w:rFonts w:cs="Times New Roman"/>
                <w:b/>
                <w:sz w:val="24"/>
                <w:szCs w:val="24"/>
              </w:rPr>
            </w:pPr>
          </w:p>
        </w:tc>
        <w:tc>
          <w:tcPr>
            <w:tcW w:w="3510" w:type="dxa"/>
          </w:tcPr>
          <w:p w14:paraId="67B25735" w14:textId="77777777" w:rsidR="002D7287" w:rsidRPr="002227F4" w:rsidRDefault="002D7287" w:rsidP="00620E48">
            <w:pPr>
              <w:rPr>
                <w:rFonts w:cs="Times New Roman"/>
                <w:b/>
                <w:sz w:val="24"/>
                <w:szCs w:val="24"/>
              </w:rPr>
            </w:pPr>
          </w:p>
        </w:tc>
        <w:tc>
          <w:tcPr>
            <w:tcW w:w="1980" w:type="dxa"/>
          </w:tcPr>
          <w:p w14:paraId="766942D2" w14:textId="77777777" w:rsidR="002D7287" w:rsidRPr="002227F4" w:rsidRDefault="002D7287" w:rsidP="00620E48">
            <w:pPr>
              <w:rPr>
                <w:rFonts w:cs="Times New Roman"/>
                <w:b/>
                <w:sz w:val="24"/>
                <w:szCs w:val="24"/>
              </w:rPr>
            </w:pPr>
          </w:p>
        </w:tc>
      </w:tr>
      <w:tr w:rsidR="00193FCA" w:rsidRPr="002227F4" w14:paraId="7D70155B" w14:textId="3F357BDC" w:rsidTr="000E798B">
        <w:tc>
          <w:tcPr>
            <w:tcW w:w="4410" w:type="dxa"/>
          </w:tcPr>
          <w:p w14:paraId="07084520" w14:textId="2955B10E" w:rsidR="002D7287" w:rsidRPr="002227F4" w:rsidRDefault="002D7287" w:rsidP="009B5B8E">
            <w:pPr>
              <w:rPr>
                <w:rFonts w:cs="Times New Roman"/>
                <w:sz w:val="20"/>
                <w:szCs w:val="20"/>
              </w:rPr>
            </w:pPr>
            <w:r w:rsidRPr="002227F4">
              <w:rPr>
                <w:rFonts w:cs="Times New Roman"/>
                <w:b/>
                <w:sz w:val="20"/>
                <w:szCs w:val="20"/>
              </w:rPr>
              <w:t xml:space="preserve">II.6 </w:t>
            </w:r>
            <w:r w:rsidR="002A6ADF" w:rsidRPr="002227F4">
              <w:rPr>
                <w:rFonts w:cs="Times New Roman"/>
                <w:sz w:val="20"/>
                <w:szCs w:val="20"/>
              </w:rPr>
              <w:t xml:space="preserve">The program has explicit, documented evidence of its ongoing decision-making processes </w:t>
            </w:r>
            <w:r w:rsidR="002A6ADF" w:rsidRPr="002227F4">
              <w:rPr>
                <w:rFonts w:cs="Times New Roman"/>
                <w:sz w:val="20"/>
                <w:szCs w:val="20"/>
              </w:rPr>
              <w:lastRenderedPageBreak/>
              <w:t>and the data to substantiate the evaluation of the curriculum.</w:t>
            </w:r>
          </w:p>
        </w:tc>
        <w:tc>
          <w:tcPr>
            <w:tcW w:w="4230" w:type="dxa"/>
            <w:gridSpan w:val="2"/>
          </w:tcPr>
          <w:p w14:paraId="63508516" w14:textId="77777777" w:rsidR="002D7287" w:rsidRPr="002227F4" w:rsidRDefault="002D7287" w:rsidP="009B5B8E">
            <w:pPr>
              <w:rPr>
                <w:rFonts w:cs="Times New Roman"/>
                <w:b/>
                <w:sz w:val="24"/>
                <w:szCs w:val="24"/>
              </w:rPr>
            </w:pPr>
          </w:p>
          <w:p w14:paraId="230E7A21" w14:textId="77777777" w:rsidR="002D7287" w:rsidRPr="002227F4" w:rsidRDefault="002D7287" w:rsidP="009B5B8E">
            <w:pPr>
              <w:rPr>
                <w:rFonts w:cs="Times New Roman"/>
                <w:b/>
                <w:sz w:val="24"/>
                <w:szCs w:val="24"/>
              </w:rPr>
            </w:pPr>
          </w:p>
        </w:tc>
        <w:tc>
          <w:tcPr>
            <w:tcW w:w="3510" w:type="dxa"/>
          </w:tcPr>
          <w:p w14:paraId="0AF23F7E" w14:textId="77777777" w:rsidR="002D7287" w:rsidRPr="002227F4" w:rsidRDefault="002D7287" w:rsidP="00620E48">
            <w:pPr>
              <w:rPr>
                <w:rFonts w:cs="Times New Roman"/>
                <w:b/>
                <w:sz w:val="24"/>
                <w:szCs w:val="24"/>
              </w:rPr>
            </w:pPr>
          </w:p>
        </w:tc>
        <w:tc>
          <w:tcPr>
            <w:tcW w:w="1980" w:type="dxa"/>
          </w:tcPr>
          <w:p w14:paraId="01DD6D49" w14:textId="77777777" w:rsidR="002D7287" w:rsidRPr="002227F4" w:rsidRDefault="002D7287" w:rsidP="00620E48">
            <w:pPr>
              <w:rPr>
                <w:rFonts w:cs="Times New Roman"/>
                <w:b/>
                <w:sz w:val="24"/>
                <w:szCs w:val="24"/>
              </w:rPr>
            </w:pPr>
          </w:p>
        </w:tc>
      </w:tr>
      <w:tr w:rsidR="00193FCA" w:rsidRPr="002227F4" w14:paraId="2AA44DF9" w14:textId="26B62C23" w:rsidTr="000E798B">
        <w:tc>
          <w:tcPr>
            <w:tcW w:w="4410" w:type="dxa"/>
          </w:tcPr>
          <w:p w14:paraId="4FF04E4D" w14:textId="12D1661C" w:rsidR="002D7287" w:rsidRPr="002227F4" w:rsidRDefault="002D7287" w:rsidP="009B5B8E">
            <w:pPr>
              <w:rPr>
                <w:rFonts w:cs="Times New Roman"/>
                <w:sz w:val="20"/>
                <w:szCs w:val="20"/>
              </w:rPr>
            </w:pPr>
            <w:r w:rsidRPr="002227F4">
              <w:rPr>
                <w:rFonts w:cs="Times New Roman"/>
                <w:b/>
                <w:sz w:val="20"/>
                <w:szCs w:val="20"/>
              </w:rPr>
              <w:t xml:space="preserve">II.7 </w:t>
            </w:r>
            <w:r w:rsidR="002A6ADF" w:rsidRPr="002227F4">
              <w:rPr>
                <w:rFonts w:cs="Times New Roman"/>
                <w:sz w:val="20"/>
                <w:szCs w:val="20"/>
              </w:rPr>
              <w:t>The program demonstrates how the results of the evaluation of the curriculum are systematically used to improve the program and to plan for the future.</w:t>
            </w:r>
          </w:p>
        </w:tc>
        <w:tc>
          <w:tcPr>
            <w:tcW w:w="4230" w:type="dxa"/>
            <w:gridSpan w:val="2"/>
          </w:tcPr>
          <w:p w14:paraId="50F8BEC2" w14:textId="77777777" w:rsidR="002D7287" w:rsidRPr="002227F4" w:rsidRDefault="002D7287" w:rsidP="009B5B8E">
            <w:pPr>
              <w:rPr>
                <w:rFonts w:cs="Times New Roman"/>
                <w:b/>
                <w:sz w:val="24"/>
                <w:szCs w:val="24"/>
              </w:rPr>
            </w:pPr>
          </w:p>
          <w:p w14:paraId="71BAE9B2" w14:textId="77777777" w:rsidR="002D7287" w:rsidRPr="002227F4" w:rsidRDefault="002D7287" w:rsidP="009B5B8E">
            <w:pPr>
              <w:rPr>
                <w:rFonts w:cs="Times New Roman"/>
                <w:b/>
                <w:sz w:val="24"/>
                <w:szCs w:val="24"/>
              </w:rPr>
            </w:pPr>
          </w:p>
        </w:tc>
        <w:tc>
          <w:tcPr>
            <w:tcW w:w="3510" w:type="dxa"/>
          </w:tcPr>
          <w:p w14:paraId="15CBD34A" w14:textId="77777777" w:rsidR="002D7287" w:rsidRPr="002227F4" w:rsidRDefault="002D7287" w:rsidP="00620E48">
            <w:pPr>
              <w:rPr>
                <w:rFonts w:cs="Times New Roman"/>
                <w:b/>
                <w:sz w:val="24"/>
                <w:szCs w:val="24"/>
              </w:rPr>
            </w:pPr>
          </w:p>
        </w:tc>
        <w:tc>
          <w:tcPr>
            <w:tcW w:w="1980" w:type="dxa"/>
          </w:tcPr>
          <w:p w14:paraId="35C81169" w14:textId="77777777" w:rsidR="002D7287" w:rsidRPr="002227F4" w:rsidRDefault="002D7287" w:rsidP="00620E48">
            <w:pPr>
              <w:rPr>
                <w:rFonts w:cs="Times New Roman"/>
                <w:b/>
                <w:sz w:val="24"/>
                <w:szCs w:val="24"/>
              </w:rPr>
            </w:pPr>
          </w:p>
        </w:tc>
      </w:tr>
      <w:tr w:rsidR="00205FCF" w:rsidRPr="002227F4" w14:paraId="184EBE50" w14:textId="77777777" w:rsidTr="000E798B">
        <w:tc>
          <w:tcPr>
            <w:tcW w:w="14130" w:type="dxa"/>
            <w:gridSpan w:val="5"/>
          </w:tcPr>
          <w:p w14:paraId="630D1495" w14:textId="77777777" w:rsidR="00205FCF" w:rsidRPr="002227F4" w:rsidRDefault="00205FCF" w:rsidP="009B5B8E">
            <w:pPr>
              <w:rPr>
                <w:rFonts w:cs="Times New Roman"/>
                <w:b/>
                <w:sz w:val="20"/>
                <w:szCs w:val="20"/>
              </w:rPr>
            </w:pPr>
            <w:r w:rsidRPr="002227F4">
              <w:rPr>
                <w:rFonts w:cs="Times New Roman"/>
                <w:b/>
                <w:sz w:val="20"/>
                <w:szCs w:val="20"/>
              </w:rPr>
              <w:t>Summary Standard II</w:t>
            </w:r>
          </w:p>
          <w:p w14:paraId="07DB8C1F" w14:textId="77777777" w:rsidR="00205FCF" w:rsidRPr="002227F4" w:rsidRDefault="00205FCF" w:rsidP="009B5B8E">
            <w:pPr>
              <w:rPr>
                <w:rFonts w:cs="Times New Roman"/>
                <w:b/>
                <w:sz w:val="20"/>
                <w:szCs w:val="20"/>
              </w:rPr>
            </w:pPr>
          </w:p>
          <w:p w14:paraId="6D2FCDF2" w14:textId="6906E7BF" w:rsidR="00205FCF" w:rsidRPr="002227F4" w:rsidRDefault="00205FCF" w:rsidP="009B5B8E">
            <w:pPr>
              <w:rPr>
                <w:rFonts w:cs="Times New Roman"/>
                <w:b/>
                <w:sz w:val="20"/>
                <w:szCs w:val="20"/>
              </w:rPr>
            </w:pPr>
          </w:p>
          <w:p w14:paraId="5DFC9F5E" w14:textId="77777777" w:rsidR="00205FCF" w:rsidRPr="002227F4" w:rsidRDefault="00205FCF" w:rsidP="009B5B8E">
            <w:pPr>
              <w:rPr>
                <w:rFonts w:cs="Times New Roman"/>
                <w:b/>
                <w:sz w:val="20"/>
                <w:szCs w:val="20"/>
              </w:rPr>
            </w:pPr>
          </w:p>
          <w:p w14:paraId="42281F8A" w14:textId="77777777" w:rsidR="00205FCF" w:rsidRPr="002227F4" w:rsidRDefault="00205FCF" w:rsidP="00620E48">
            <w:pPr>
              <w:rPr>
                <w:rFonts w:cs="Times New Roman"/>
                <w:b/>
                <w:sz w:val="24"/>
                <w:szCs w:val="24"/>
              </w:rPr>
            </w:pPr>
          </w:p>
        </w:tc>
      </w:tr>
      <w:tr w:rsidR="00AF3B21" w:rsidRPr="002227F4" w14:paraId="2972A79D" w14:textId="5750B9B1" w:rsidTr="000E798B">
        <w:tc>
          <w:tcPr>
            <w:tcW w:w="4410" w:type="dxa"/>
            <w:shd w:val="clear" w:color="auto" w:fill="BFBFBF" w:themeFill="background1" w:themeFillShade="BF"/>
          </w:tcPr>
          <w:p w14:paraId="4AF772E4" w14:textId="77777777" w:rsidR="00AF3B21" w:rsidRPr="002227F4" w:rsidRDefault="00AF3B21" w:rsidP="009B5B8E">
            <w:pPr>
              <w:rPr>
                <w:rFonts w:cs="Times New Roman"/>
                <w:b/>
                <w:sz w:val="24"/>
                <w:szCs w:val="24"/>
              </w:rPr>
            </w:pPr>
            <w:r w:rsidRPr="002227F4">
              <w:rPr>
                <w:rFonts w:cs="Times New Roman"/>
                <w:b/>
                <w:sz w:val="24"/>
                <w:szCs w:val="24"/>
              </w:rPr>
              <w:t>III Faculty</w:t>
            </w:r>
          </w:p>
        </w:tc>
        <w:tc>
          <w:tcPr>
            <w:tcW w:w="4230" w:type="dxa"/>
            <w:gridSpan w:val="2"/>
            <w:shd w:val="clear" w:color="auto" w:fill="BFBFBF" w:themeFill="background1" w:themeFillShade="BF"/>
          </w:tcPr>
          <w:p w14:paraId="1F3AAFB0" w14:textId="70B8CF24" w:rsidR="00AF3B21" w:rsidRPr="002227F4" w:rsidRDefault="001F4AE4" w:rsidP="009B5B8E">
            <w:pPr>
              <w:rPr>
                <w:rFonts w:cs="Times New Roman"/>
                <w:b/>
                <w:sz w:val="24"/>
                <w:szCs w:val="24"/>
              </w:rPr>
            </w:pPr>
            <w:r w:rsidRPr="001F4AE4">
              <w:rPr>
                <w:b/>
                <w:sz w:val="20"/>
                <w:szCs w:val="20"/>
              </w:rPr>
              <w:t>Source/Assertion</w:t>
            </w:r>
          </w:p>
        </w:tc>
        <w:tc>
          <w:tcPr>
            <w:tcW w:w="3510" w:type="dxa"/>
            <w:shd w:val="clear" w:color="auto" w:fill="BFBFBF" w:themeFill="background1" w:themeFillShade="BF"/>
          </w:tcPr>
          <w:p w14:paraId="00EF1810" w14:textId="135145E6" w:rsidR="00AF3B21" w:rsidRPr="002227F4" w:rsidRDefault="001F4AE4" w:rsidP="00620E48">
            <w:pPr>
              <w:rPr>
                <w:rFonts w:cs="Times New Roman"/>
                <w:b/>
                <w:sz w:val="24"/>
                <w:szCs w:val="24"/>
              </w:rPr>
            </w:pPr>
            <w:r w:rsidRPr="001F4AE4">
              <w:rPr>
                <w:b/>
                <w:sz w:val="20"/>
                <w:szCs w:val="20"/>
              </w:rPr>
              <w:t>Evidence verified</w:t>
            </w:r>
          </w:p>
        </w:tc>
        <w:tc>
          <w:tcPr>
            <w:tcW w:w="1980" w:type="dxa"/>
            <w:shd w:val="clear" w:color="auto" w:fill="BFBFBF" w:themeFill="background1" w:themeFillShade="BF"/>
          </w:tcPr>
          <w:p w14:paraId="4EF09F41" w14:textId="5A166C22" w:rsidR="00AF3B21" w:rsidRPr="002227F4" w:rsidRDefault="005207C1" w:rsidP="0088067E">
            <w:pPr>
              <w:jc w:val="center"/>
              <w:rPr>
                <w:rFonts w:cs="Times New Roman"/>
                <w:b/>
                <w:sz w:val="24"/>
                <w:szCs w:val="24"/>
              </w:rPr>
            </w:pPr>
            <w:r w:rsidRPr="005207C1">
              <w:rPr>
                <w:b/>
                <w:sz w:val="20"/>
                <w:szCs w:val="20"/>
              </w:rPr>
              <w:t>Evidence supports compliance?</w:t>
            </w:r>
          </w:p>
        </w:tc>
      </w:tr>
      <w:tr w:rsidR="00193FCA" w:rsidRPr="002227F4" w14:paraId="6006D80C" w14:textId="001A664C" w:rsidTr="000E798B">
        <w:tc>
          <w:tcPr>
            <w:tcW w:w="4410" w:type="dxa"/>
          </w:tcPr>
          <w:p w14:paraId="493FB5F3" w14:textId="4BC250C4" w:rsidR="002D7287" w:rsidRPr="002227F4" w:rsidRDefault="002D7287" w:rsidP="009B5B8E">
            <w:pPr>
              <w:rPr>
                <w:rFonts w:cs="Times New Roman"/>
                <w:sz w:val="20"/>
                <w:szCs w:val="20"/>
              </w:rPr>
            </w:pPr>
            <w:r w:rsidRPr="002227F4">
              <w:rPr>
                <w:rFonts w:cs="Times New Roman"/>
                <w:b/>
                <w:sz w:val="20"/>
                <w:szCs w:val="20"/>
              </w:rPr>
              <w:t xml:space="preserve">III.1 </w:t>
            </w:r>
            <w:r w:rsidR="002A6ADF" w:rsidRPr="002227F4">
              <w:rPr>
                <w:rFonts w:cs="Times New Roman"/>
                <w:sz w:val="20"/>
                <w:szCs w:val="20"/>
              </w:rPr>
              <w:t>The program has a faculty capable of accomplishing program objectives. Full-time faculty members (tenured/tenure-track and non-tenure-track) are qualified for appointment to the graduate faculty within the parent institution. The full-time faculty are sufficient in number and in diversity of specialties to carry out the major share of the teaching, research, and service activities required for a program, wherever and however delivered. Part-time faculty, when appointed, balance and complement the competencies of the full-time tenured/tenure-track and non-tenure-track faculty and are integral to the program. Particularly in the teaching of specialties that are not represented in the expertise of the full-time faculty, part-time faculty enrich the quality and diversity of a program.</w:t>
            </w:r>
          </w:p>
        </w:tc>
        <w:tc>
          <w:tcPr>
            <w:tcW w:w="4230" w:type="dxa"/>
            <w:gridSpan w:val="2"/>
          </w:tcPr>
          <w:p w14:paraId="6100353A" w14:textId="77777777" w:rsidR="002D7287" w:rsidRPr="002227F4" w:rsidRDefault="002D7287" w:rsidP="009B5B8E">
            <w:pPr>
              <w:rPr>
                <w:rFonts w:cs="Times New Roman"/>
                <w:b/>
                <w:sz w:val="24"/>
                <w:szCs w:val="24"/>
              </w:rPr>
            </w:pPr>
          </w:p>
        </w:tc>
        <w:tc>
          <w:tcPr>
            <w:tcW w:w="3510" w:type="dxa"/>
          </w:tcPr>
          <w:p w14:paraId="53D32B8A" w14:textId="77777777" w:rsidR="002D7287" w:rsidRPr="002227F4" w:rsidRDefault="002D7287" w:rsidP="008A1AE6">
            <w:pPr>
              <w:rPr>
                <w:rFonts w:cs="Times New Roman"/>
                <w:b/>
                <w:sz w:val="24"/>
                <w:szCs w:val="24"/>
              </w:rPr>
            </w:pPr>
          </w:p>
        </w:tc>
        <w:tc>
          <w:tcPr>
            <w:tcW w:w="1980" w:type="dxa"/>
          </w:tcPr>
          <w:p w14:paraId="0FD31162" w14:textId="77777777" w:rsidR="002D7287" w:rsidRPr="002227F4" w:rsidRDefault="002D7287" w:rsidP="008A1AE6">
            <w:pPr>
              <w:rPr>
                <w:rFonts w:cs="Times New Roman"/>
                <w:b/>
                <w:sz w:val="24"/>
                <w:szCs w:val="24"/>
              </w:rPr>
            </w:pPr>
          </w:p>
        </w:tc>
      </w:tr>
      <w:tr w:rsidR="00193FCA" w:rsidRPr="002227F4" w14:paraId="74304723" w14:textId="2F4E90AE" w:rsidTr="000E798B">
        <w:tc>
          <w:tcPr>
            <w:tcW w:w="4410" w:type="dxa"/>
          </w:tcPr>
          <w:p w14:paraId="2E95001D" w14:textId="11429C58" w:rsidR="002D7287" w:rsidRPr="002227F4" w:rsidRDefault="002D7287" w:rsidP="009B5B8E">
            <w:pPr>
              <w:rPr>
                <w:rFonts w:cs="Times New Roman"/>
                <w:b/>
                <w:sz w:val="20"/>
                <w:szCs w:val="20"/>
              </w:rPr>
            </w:pPr>
            <w:r w:rsidRPr="002227F4">
              <w:rPr>
                <w:rFonts w:cs="Times New Roman"/>
                <w:b/>
                <w:sz w:val="20"/>
                <w:szCs w:val="20"/>
              </w:rPr>
              <w:t xml:space="preserve">III.2 </w:t>
            </w:r>
            <w:r w:rsidR="002A6ADF" w:rsidRPr="002227F4">
              <w:rPr>
                <w:rFonts w:cs="Times New Roman"/>
                <w:sz w:val="20"/>
                <w:szCs w:val="20"/>
              </w:rPr>
              <w:t>The program demonstrates the high priority it attaches to teaching, research, and service by its appointments and promotions; by encouragement of excellence in teaching, research, and service; and through provision of a stimulating learning and research environment.</w:t>
            </w:r>
          </w:p>
        </w:tc>
        <w:tc>
          <w:tcPr>
            <w:tcW w:w="4230" w:type="dxa"/>
            <w:gridSpan w:val="2"/>
          </w:tcPr>
          <w:p w14:paraId="2532165A" w14:textId="77777777" w:rsidR="002D7287" w:rsidRPr="002227F4" w:rsidRDefault="002D7287" w:rsidP="009B5B8E">
            <w:pPr>
              <w:rPr>
                <w:rFonts w:cs="Times New Roman"/>
                <w:b/>
                <w:sz w:val="24"/>
                <w:szCs w:val="24"/>
              </w:rPr>
            </w:pPr>
          </w:p>
          <w:p w14:paraId="0D904EEB" w14:textId="77777777" w:rsidR="002D7287" w:rsidRPr="002227F4" w:rsidRDefault="002D7287" w:rsidP="009B5B8E">
            <w:pPr>
              <w:rPr>
                <w:rFonts w:cs="Times New Roman"/>
                <w:b/>
                <w:sz w:val="24"/>
                <w:szCs w:val="24"/>
              </w:rPr>
            </w:pPr>
          </w:p>
        </w:tc>
        <w:tc>
          <w:tcPr>
            <w:tcW w:w="3510" w:type="dxa"/>
          </w:tcPr>
          <w:p w14:paraId="40208BA9" w14:textId="77777777" w:rsidR="002D7287" w:rsidRPr="002227F4" w:rsidRDefault="002D7287" w:rsidP="00620E48">
            <w:pPr>
              <w:rPr>
                <w:rFonts w:cs="Times New Roman"/>
                <w:b/>
                <w:sz w:val="24"/>
                <w:szCs w:val="24"/>
              </w:rPr>
            </w:pPr>
          </w:p>
        </w:tc>
        <w:tc>
          <w:tcPr>
            <w:tcW w:w="1980" w:type="dxa"/>
          </w:tcPr>
          <w:p w14:paraId="74112E44" w14:textId="77777777" w:rsidR="002D7287" w:rsidRPr="002227F4" w:rsidRDefault="002D7287" w:rsidP="00620E48">
            <w:pPr>
              <w:rPr>
                <w:rFonts w:cs="Times New Roman"/>
                <w:b/>
                <w:sz w:val="24"/>
                <w:szCs w:val="24"/>
              </w:rPr>
            </w:pPr>
          </w:p>
        </w:tc>
      </w:tr>
      <w:tr w:rsidR="00193FCA" w:rsidRPr="002227F4" w14:paraId="4EC6ED94" w14:textId="5228EEEC" w:rsidTr="000E798B">
        <w:tc>
          <w:tcPr>
            <w:tcW w:w="4410" w:type="dxa"/>
          </w:tcPr>
          <w:p w14:paraId="7B260BA3" w14:textId="6CD6655E" w:rsidR="002D7287" w:rsidRPr="002227F4" w:rsidRDefault="002D7287" w:rsidP="009B5B8E">
            <w:pPr>
              <w:rPr>
                <w:rFonts w:cs="Times New Roman"/>
                <w:sz w:val="20"/>
                <w:szCs w:val="20"/>
              </w:rPr>
            </w:pPr>
            <w:r w:rsidRPr="002227F4">
              <w:rPr>
                <w:rFonts w:cs="Times New Roman"/>
                <w:b/>
                <w:sz w:val="20"/>
                <w:szCs w:val="20"/>
              </w:rPr>
              <w:t xml:space="preserve">III.3 </w:t>
            </w:r>
            <w:r w:rsidR="002A6ADF" w:rsidRPr="002227F4">
              <w:rPr>
                <w:rFonts w:cs="Times New Roman"/>
                <w:sz w:val="20"/>
                <w:szCs w:val="20"/>
              </w:rPr>
              <w:t xml:space="preserve">The program has policies to recruit and retain faculty from diverse backgrounds. Explicit and equitable faculty personnel policies and procedures are published, accessible, and </w:t>
            </w:r>
            <w:r w:rsidR="002A6ADF" w:rsidRPr="002227F4">
              <w:rPr>
                <w:rFonts w:cs="Times New Roman"/>
                <w:sz w:val="20"/>
                <w:szCs w:val="20"/>
              </w:rPr>
              <w:lastRenderedPageBreak/>
              <w:t>implemented</w:t>
            </w:r>
            <w:r w:rsidRPr="002227F4">
              <w:rPr>
                <w:rFonts w:cs="Times New Roman"/>
                <w:sz w:val="20"/>
                <w:szCs w:val="20"/>
              </w:rPr>
              <w:t>.</w:t>
            </w:r>
          </w:p>
        </w:tc>
        <w:tc>
          <w:tcPr>
            <w:tcW w:w="4230" w:type="dxa"/>
            <w:gridSpan w:val="2"/>
          </w:tcPr>
          <w:p w14:paraId="01B318B1" w14:textId="77777777" w:rsidR="002D7287" w:rsidRPr="002227F4" w:rsidRDefault="002D7287" w:rsidP="009B5B8E">
            <w:pPr>
              <w:rPr>
                <w:rFonts w:cs="Times New Roman"/>
                <w:b/>
                <w:sz w:val="24"/>
                <w:szCs w:val="24"/>
              </w:rPr>
            </w:pPr>
          </w:p>
        </w:tc>
        <w:tc>
          <w:tcPr>
            <w:tcW w:w="3510" w:type="dxa"/>
          </w:tcPr>
          <w:p w14:paraId="360DDFA5" w14:textId="77777777" w:rsidR="002D7287" w:rsidRPr="002227F4" w:rsidRDefault="002D7287" w:rsidP="00620E48">
            <w:pPr>
              <w:rPr>
                <w:rFonts w:cs="Times New Roman"/>
                <w:b/>
                <w:sz w:val="24"/>
                <w:szCs w:val="24"/>
              </w:rPr>
            </w:pPr>
          </w:p>
        </w:tc>
        <w:tc>
          <w:tcPr>
            <w:tcW w:w="1980" w:type="dxa"/>
          </w:tcPr>
          <w:p w14:paraId="0762B645" w14:textId="77777777" w:rsidR="002D7287" w:rsidRPr="002227F4" w:rsidRDefault="002D7287" w:rsidP="00620E48">
            <w:pPr>
              <w:rPr>
                <w:rFonts w:cs="Times New Roman"/>
                <w:b/>
                <w:sz w:val="24"/>
                <w:szCs w:val="24"/>
              </w:rPr>
            </w:pPr>
          </w:p>
        </w:tc>
      </w:tr>
      <w:tr w:rsidR="00193FCA" w:rsidRPr="002227F4" w14:paraId="0BA8A2F0" w14:textId="70F72312" w:rsidTr="000E798B">
        <w:tc>
          <w:tcPr>
            <w:tcW w:w="4410" w:type="dxa"/>
          </w:tcPr>
          <w:p w14:paraId="40953836" w14:textId="03CBA68B" w:rsidR="002D7287" w:rsidRPr="002227F4" w:rsidRDefault="002D7287" w:rsidP="009B5B8E">
            <w:pPr>
              <w:rPr>
                <w:rFonts w:cs="Times New Roman"/>
                <w:sz w:val="20"/>
                <w:szCs w:val="20"/>
              </w:rPr>
            </w:pPr>
            <w:r w:rsidRPr="002227F4">
              <w:rPr>
                <w:rFonts w:cs="Times New Roman"/>
                <w:b/>
                <w:sz w:val="20"/>
                <w:szCs w:val="20"/>
              </w:rPr>
              <w:t xml:space="preserve">III.4 </w:t>
            </w:r>
            <w:r w:rsidR="002A6ADF" w:rsidRPr="002227F4">
              <w:rPr>
                <w:rFonts w:cs="Times New Roman"/>
                <w:sz w:val="20"/>
                <w:szCs w:val="20"/>
              </w:rPr>
              <w:t>The qualifications of each faculty member include competence in designated teaching areas, technological skills and knowledge as appropriate, effectiveness in teaching, and active participation in relevant organizations.</w:t>
            </w:r>
          </w:p>
        </w:tc>
        <w:tc>
          <w:tcPr>
            <w:tcW w:w="4230" w:type="dxa"/>
            <w:gridSpan w:val="2"/>
          </w:tcPr>
          <w:p w14:paraId="32B9596E" w14:textId="77777777" w:rsidR="002D7287" w:rsidRPr="002227F4" w:rsidRDefault="002D7287" w:rsidP="009B5B8E">
            <w:pPr>
              <w:rPr>
                <w:rFonts w:cs="Times New Roman"/>
                <w:b/>
                <w:sz w:val="24"/>
                <w:szCs w:val="24"/>
              </w:rPr>
            </w:pPr>
          </w:p>
        </w:tc>
        <w:tc>
          <w:tcPr>
            <w:tcW w:w="3510" w:type="dxa"/>
          </w:tcPr>
          <w:p w14:paraId="19B49925" w14:textId="77777777" w:rsidR="002D7287" w:rsidRPr="002227F4" w:rsidRDefault="002D7287" w:rsidP="00620E48">
            <w:pPr>
              <w:rPr>
                <w:rFonts w:cs="Times New Roman"/>
                <w:b/>
                <w:sz w:val="24"/>
                <w:szCs w:val="24"/>
              </w:rPr>
            </w:pPr>
          </w:p>
        </w:tc>
        <w:tc>
          <w:tcPr>
            <w:tcW w:w="1980" w:type="dxa"/>
          </w:tcPr>
          <w:p w14:paraId="5409579C" w14:textId="77777777" w:rsidR="002D7287" w:rsidRPr="002227F4" w:rsidRDefault="002D7287" w:rsidP="00620E48">
            <w:pPr>
              <w:rPr>
                <w:rFonts w:cs="Times New Roman"/>
                <w:b/>
                <w:sz w:val="24"/>
                <w:szCs w:val="24"/>
              </w:rPr>
            </w:pPr>
          </w:p>
        </w:tc>
      </w:tr>
      <w:tr w:rsidR="00193FCA" w:rsidRPr="002227F4" w14:paraId="41E7E551" w14:textId="0572CF12" w:rsidTr="000E798B">
        <w:tc>
          <w:tcPr>
            <w:tcW w:w="4410" w:type="dxa"/>
          </w:tcPr>
          <w:p w14:paraId="08DB6E49" w14:textId="671EAE3C" w:rsidR="002D7287" w:rsidRPr="002227F4" w:rsidRDefault="002D7287" w:rsidP="009B5B8E">
            <w:pPr>
              <w:rPr>
                <w:rFonts w:cs="Times New Roman"/>
                <w:sz w:val="20"/>
                <w:szCs w:val="20"/>
              </w:rPr>
            </w:pPr>
            <w:r w:rsidRPr="002227F4">
              <w:rPr>
                <w:rFonts w:cs="Times New Roman"/>
                <w:b/>
                <w:sz w:val="20"/>
                <w:szCs w:val="20"/>
              </w:rPr>
              <w:t xml:space="preserve">III.5 </w:t>
            </w:r>
            <w:r w:rsidR="002A6ADF" w:rsidRPr="002227F4">
              <w:rPr>
                <w:rFonts w:cs="Times New Roman"/>
                <w:sz w:val="20"/>
                <w:szCs w:val="20"/>
              </w:rPr>
              <w:t>For each full-time faculty member, the qualifications include a sustained record of accomplishment in research or other appropriate scholarship (such as creative and professional activities) that contribute to the knowledge base of the field and to their professional development</w:t>
            </w:r>
          </w:p>
          <w:p w14:paraId="5F7F79B9" w14:textId="1FAC48B0" w:rsidR="002D7287" w:rsidRPr="002227F4" w:rsidRDefault="002D7287" w:rsidP="009B5B8E">
            <w:pPr>
              <w:rPr>
                <w:rFonts w:cs="Times New Roman"/>
                <w:b/>
                <w:sz w:val="20"/>
                <w:szCs w:val="20"/>
              </w:rPr>
            </w:pPr>
          </w:p>
        </w:tc>
        <w:tc>
          <w:tcPr>
            <w:tcW w:w="4230" w:type="dxa"/>
            <w:gridSpan w:val="2"/>
          </w:tcPr>
          <w:p w14:paraId="5E92D450" w14:textId="77777777" w:rsidR="002D7287" w:rsidRPr="002227F4" w:rsidRDefault="002D7287" w:rsidP="009B5B8E">
            <w:pPr>
              <w:rPr>
                <w:rFonts w:cs="Times New Roman"/>
                <w:b/>
                <w:sz w:val="24"/>
                <w:szCs w:val="24"/>
              </w:rPr>
            </w:pPr>
          </w:p>
        </w:tc>
        <w:tc>
          <w:tcPr>
            <w:tcW w:w="3510" w:type="dxa"/>
          </w:tcPr>
          <w:p w14:paraId="5080B325" w14:textId="77777777" w:rsidR="002D7287" w:rsidRPr="002227F4" w:rsidRDefault="002D7287" w:rsidP="00620E48">
            <w:pPr>
              <w:rPr>
                <w:rFonts w:cs="Times New Roman"/>
                <w:b/>
                <w:sz w:val="24"/>
                <w:szCs w:val="24"/>
              </w:rPr>
            </w:pPr>
          </w:p>
        </w:tc>
        <w:tc>
          <w:tcPr>
            <w:tcW w:w="1980" w:type="dxa"/>
          </w:tcPr>
          <w:p w14:paraId="207E9F63" w14:textId="77777777" w:rsidR="002D7287" w:rsidRPr="002227F4" w:rsidRDefault="002D7287" w:rsidP="00620E48">
            <w:pPr>
              <w:rPr>
                <w:rFonts w:cs="Times New Roman"/>
                <w:b/>
                <w:sz w:val="24"/>
                <w:szCs w:val="24"/>
              </w:rPr>
            </w:pPr>
          </w:p>
        </w:tc>
      </w:tr>
      <w:tr w:rsidR="00193FCA" w:rsidRPr="002227F4" w14:paraId="4965E6A7" w14:textId="34B55522" w:rsidTr="000E798B">
        <w:tc>
          <w:tcPr>
            <w:tcW w:w="4410" w:type="dxa"/>
          </w:tcPr>
          <w:p w14:paraId="78552F9C" w14:textId="524E3812" w:rsidR="002D7287" w:rsidRPr="002227F4" w:rsidRDefault="002D7287" w:rsidP="009B5B8E">
            <w:pPr>
              <w:rPr>
                <w:rFonts w:cs="Times New Roman"/>
                <w:sz w:val="20"/>
                <w:szCs w:val="20"/>
              </w:rPr>
            </w:pPr>
            <w:r w:rsidRPr="002227F4">
              <w:rPr>
                <w:rFonts w:cs="Times New Roman"/>
                <w:b/>
                <w:sz w:val="20"/>
                <w:szCs w:val="20"/>
              </w:rPr>
              <w:t xml:space="preserve">III.6 </w:t>
            </w:r>
            <w:r w:rsidR="002A6ADF" w:rsidRPr="002227F4">
              <w:rPr>
                <w:rFonts w:cs="Times New Roman"/>
                <w:sz w:val="20"/>
                <w:szCs w:val="20"/>
              </w:rPr>
              <w:t>The faculty hold advanced degrees from a variety of academic institutions. The faculty evidence diversity of backgrounds, ability to conduct research in the field, and specialized knowledge covering program content. In addition, they demonstrate skill in academic planning and assessment, have a substantial and pertinent body of relevant experience, interact with faculty of other disciplines, and maintain close and continuing liaison with the field. The faculty nurture an intellectual environment that enhances the accomplishment of program objectives.</w:t>
            </w:r>
          </w:p>
        </w:tc>
        <w:tc>
          <w:tcPr>
            <w:tcW w:w="4230" w:type="dxa"/>
            <w:gridSpan w:val="2"/>
          </w:tcPr>
          <w:p w14:paraId="4D8D864C" w14:textId="77777777" w:rsidR="002D7287" w:rsidRPr="002227F4" w:rsidRDefault="002D7287" w:rsidP="009B5B8E">
            <w:pPr>
              <w:rPr>
                <w:rFonts w:cs="Times New Roman"/>
                <w:b/>
                <w:sz w:val="24"/>
                <w:szCs w:val="24"/>
              </w:rPr>
            </w:pPr>
          </w:p>
        </w:tc>
        <w:tc>
          <w:tcPr>
            <w:tcW w:w="3510" w:type="dxa"/>
          </w:tcPr>
          <w:p w14:paraId="75397252" w14:textId="77777777" w:rsidR="002D7287" w:rsidRPr="002227F4" w:rsidRDefault="002D7287" w:rsidP="00620E48">
            <w:pPr>
              <w:rPr>
                <w:rFonts w:cs="Times New Roman"/>
                <w:b/>
                <w:sz w:val="24"/>
                <w:szCs w:val="24"/>
              </w:rPr>
            </w:pPr>
          </w:p>
        </w:tc>
        <w:tc>
          <w:tcPr>
            <w:tcW w:w="1980" w:type="dxa"/>
          </w:tcPr>
          <w:p w14:paraId="2B8FCDB9" w14:textId="77777777" w:rsidR="002D7287" w:rsidRPr="002227F4" w:rsidRDefault="002D7287" w:rsidP="00620E48">
            <w:pPr>
              <w:rPr>
                <w:rFonts w:cs="Times New Roman"/>
                <w:b/>
                <w:sz w:val="24"/>
                <w:szCs w:val="24"/>
              </w:rPr>
            </w:pPr>
          </w:p>
        </w:tc>
      </w:tr>
      <w:tr w:rsidR="00193FCA" w:rsidRPr="002227F4" w14:paraId="55EEF4F8" w14:textId="46D3F9EA" w:rsidTr="000E798B">
        <w:tc>
          <w:tcPr>
            <w:tcW w:w="4410" w:type="dxa"/>
          </w:tcPr>
          <w:p w14:paraId="654E74B9" w14:textId="6393CF03" w:rsidR="002D7287" w:rsidRPr="002227F4" w:rsidRDefault="002D7287" w:rsidP="009B5B8E">
            <w:pPr>
              <w:rPr>
                <w:rFonts w:cs="Times New Roman"/>
                <w:sz w:val="20"/>
                <w:szCs w:val="20"/>
              </w:rPr>
            </w:pPr>
            <w:r w:rsidRPr="002227F4">
              <w:rPr>
                <w:rFonts w:cs="Times New Roman"/>
                <w:b/>
                <w:sz w:val="20"/>
                <w:szCs w:val="20"/>
              </w:rPr>
              <w:t xml:space="preserve">III.7 </w:t>
            </w:r>
            <w:r w:rsidR="002A6ADF" w:rsidRPr="002227F4">
              <w:rPr>
                <w:rFonts w:cs="Times New Roman"/>
                <w:sz w:val="20"/>
                <w:szCs w:val="20"/>
              </w:rPr>
              <w:t>Faculty assignments relate to the needs of a program and to the competencies of individual faculty members. These assignments assure that the quality of instruction is maintained throughout the year and take into account the time needed by the faculty for teaching, student counseling, research, professional development, and institutional and professional service.</w:t>
            </w:r>
          </w:p>
        </w:tc>
        <w:tc>
          <w:tcPr>
            <w:tcW w:w="4230" w:type="dxa"/>
            <w:gridSpan w:val="2"/>
          </w:tcPr>
          <w:p w14:paraId="0DE0D82B" w14:textId="77777777" w:rsidR="002D7287" w:rsidRPr="002227F4" w:rsidRDefault="002D7287" w:rsidP="009B5B8E">
            <w:pPr>
              <w:rPr>
                <w:rFonts w:cs="Times New Roman"/>
                <w:b/>
                <w:sz w:val="24"/>
                <w:szCs w:val="24"/>
              </w:rPr>
            </w:pPr>
          </w:p>
          <w:p w14:paraId="05D19FE0" w14:textId="77777777" w:rsidR="002D7287" w:rsidRPr="002227F4" w:rsidRDefault="002D7287" w:rsidP="009B5B8E">
            <w:pPr>
              <w:rPr>
                <w:rFonts w:cs="Times New Roman"/>
                <w:b/>
                <w:sz w:val="24"/>
                <w:szCs w:val="24"/>
              </w:rPr>
            </w:pPr>
          </w:p>
        </w:tc>
        <w:tc>
          <w:tcPr>
            <w:tcW w:w="3510" w:type="dxa"/>
          </w:tcPr>
          <w:p w14:paraId="348B73E2" w14:textId="77777777" w:rsidR="002D7287" w:rsidRPr="002227F4" w:rsidRDefault="002D7287" w:rsidP="00620E48">
            <w:pPr>
              <w:rPr>
                <w:rFonts w:cs="Times New Roman"/>
                <w:b/>
                <w:sz w:val="24"/>
                <w:szCs w:val="24"/>
              </w:rPr>
            </w:pPr>
          </w:p>
        </w:tc>
        <w:tc>
          <w:tcPr>
            <w:tcW w:w="1980" w:type="dxa"/>
          </w:tcPr>
          <w:p w14:paraId="4D275954" w14:textId="77777777" w:rsidR="002D7287" w:rsidRPr="002227F4" w:rsidRDefault="002D7287" w:rsidP="00620E48">
            <w:pPr>
              <w:rPr>
                <w:rFonts w:cs="Times New Roman"/>
                <w:b/>
                <w:sz w:val="24"/>
                <w:szCs w:val="24"/>
              </w:rPr>
            </w:pPr>
          </w:p>
        </w:tc>
      </w:tr>
      <w:tr w:rsidR="00193FCA" w:rsidRPr="002227F4" w14:paraId="153CAF5D" w14:textId="799AC4C1" w:rsidTr="000E798B">
        <w:tc>
          <w:tcPr>
            <w:tcW w:w="4410" w:type="dxa"/>
          </w:tcPr>
          <w:p w14:paraId="7A85F3A6" w14:textId="208D6E55" w:rsidR="002D7287" w:rsidRPr="002227F4" w:rsidRDefault="002D7287" w:rsidP="009B5B8E">
            <w:pPr>
              <w:rPr>
                <w:rFonts w:cs="Times New Roman"/>
                <w:sz w:val="20"/>
                <w:szCs w:val="20"/>
              </w:rPr>
            </w:pPr>
            <w:r w:rsidRPr="002227F4">
              <w:rPr>
                <w:rFonts w:cs="Times New Roman"/>
                <w:b/>
                <w:sz w:val="20"/>
                <w:szCs w:val="20"/>
              </w:rPr>
              <w:t xml:space="preserve">III.8 </w:t>
            </w:r>
            <w:r w:rsidR="002A6ADF" w:rsidRPr="002227F4">
              <w:rPr>
                <w:rFonts w:cs="Times New Roman"/>
                <w:sz w:val="20"/>
                <w:szCs w:val="20"/>
              </w:rPr>
              <w:t>Procedures are established for systematic evaluation of all faculty; evaluation considers accomplishment and innovation in the areas of teaching, research, and service. Within applicable institutional policies, faculty, students, and others are involved in the evaluation process</w:t>
            </w:r>
            <w:r w:rsidRPr="002227F4">
              <w:rPr>
                <w:rFonts w:cs="Times New Roman"/>
                <w:sz w:val="20"/>
                <w:szCs w:val="20"/>
              </w:rPr>
              <w:t>.</w:t>
            </w:r>
          </w:p>
        </w:tc>
        <w:tc>
          <w:tcPr>
            <w:tcW w:w="4230" w:type="dxa"/>
            <w:gridSpan w:val="2"/>
          </w:tcPr>
          <w:p w14:paraId="7C95ADE2" w14:textId="77777777" w:rsidR="002D7287" w:rsidRPr="002227F4" w:rsidRDefault="002D7287" w:rsidP="009B5B8E">
            <w:pPr>
              <w:rPr>
                <w:rFonts w:cs="Times New Roman"/>
                <w:b/>
                <w:sz w:val="24"/>
                <w:szCs w:val="24"/>
              </w:rPr>
            </w:pPr>
          </w:p>
        </w:tc>
        <w:tc>
          <w:tcPr>
            <w:tcW w:w="3510" w:type="dxa"/>
          </w:tcPr>
          <w:p w14:paraId="6DD4486B" w14:textId="77777777" w:rsidR="002D7287" w:rsidRPr="002227F4" w:rsidRDefault="002D7287" w:rsidP="008A1AE6">
            <w:pPr>
              <w:rPr>
                <w:rFonts w:cs="Times New Roman"/>
                <w:b/>
                <w:sz w:val="24"/>
                <w:szCs w:val="24"/>
              </w:rPr>
            </w:pPr>
          </w:p>
        </w:tc>
        <w:tc>
          <w:tcPr>
            <w:tcW w:w="1980" w:type="dxa"/>
          </w:tcPr>
          <w:p w14:paraId="417B06C4" w14:textId="77777777" w:rsidR="002D7287" w:rsidRPr="002227F4" w:rsidRDefault="002D7287" w:rsidP="008A1AE6">
            <w:pPr>
              <w:rPr>
                <w:rFonts w:cs="Times New Roman"/>
                <w:b/>
                <w:sz w:val="24"/>
                <w:szCs w:val="24"/>
              </w:rPr>
            </w:pPr>
          </w:p>
        </w:tc>
      </w:tr>
      <w:tr w:rsidR="00193FCA" w:rsidRPr="002227F4" w14:paraId="374E4B29" w14:textId="27BF6159" w:rsidTr="000E798B">
        <w:tc>
          <w:tcPr>
            <w:tcW w:w="4410" w:type="dxa"/>
          </w:tcPr>
          <w:p w14:paraId="7D88F484" w14:textId="3EF7D610" w:rsidR="002D7287" w:rsidRPr="002227F4" w:rsidRDefault="002D7287" w:rsidP="009B5B8E">
            <w:pPr>
              <w:rPr>
                <w:rFonts w:cs="Times New Roman"/>
                <w:sz w:val="20"/>
                <w:szCs w:val="20"/>
              </w:rPr>
            </w:pPr>
            <w:r w:rsidRPr="002227F4">
              <w:rPr>
                <w:rFonts w:cs="Times New Roman"/>
                <w:b/>
                <w:sz w:val="20"/>
                <w:szCs w:val="20"/>
              </w:rPr>
              <w:t xml:space="preserve">III.9 </w:t>
            </w:r>
            <w:r w:rsidR="002A6ADF" w:rsidRPr="002227F4">
              <w:rPr>
                <w:rFonts w:cs="Times New Roman"/>
                <w:sz w:val="20"/>
                <w:szCs w:val="20"/>
              </w:rPr>
              <w:t xml:space="preserve">The program has explicit, documented </w:t>
            </w:r>
            <w:r w:rsidR="002A6ADF" w:rsidRPr="002227F4">
              <w:rPr>
                <w:rFonts w:cs="Times New Roman"/>
                <w:sz w:val="20"/>
                <w:szCs w:val="20"/>
              </w:rPr>
              <w:lastRenderedPageBreak/>
              <w:t>evidence of its ongoing decision-making processes and the data to substantiate the evaluation of the faculty.</w:t>
            </w:r>
          </w:p>
        </w:tc>
        <w:tc>
          <w:tcPr>
            <w:tcW w:w="4230" w:type="dxa"/>
            <w:gridSpan w:val="2"/>
          </w:tcPr>
          <w:p w14:paraId="0E7EF373" w14:textId="77777777" w:rsidR="002D7287" w:rsidRPr="002227F4" w:rsidRDefault="002D7287" w:rsidP="009B5B8E">
            <w:pPr>
              <w:rPr>
                <w:rFonts w:cs="Times New Roman"/>
                <w:b/>
                <w:sz w:val="24"/>
                <w:szCs w:val="24"/>
              </w:rPr>
            </w:pPr>
          </w:p>
        </w:tc>
        <w:tc>
          <w:tcPr>
            <w:tcW w:w="3510" w:type="dxa"/>
          </w:tcPr>
          <w:p w14:paraId="6D0F0261" w14:textId="77777777" w:rsidR="002D7287" w:rsidRPr="002227F4" w:rsidRDefault="002D7287" w:rsidP="008A1AE6">
            <w:pPr>
              <w:rPr>
                <w:rFonts w:cs="Times New Roman"/>
                <w:b/>
                <w:sz w:val="24"/>
                <w:szCs w:val="24"/>
              </w:rPr>
            </w:pPr>
          </w:p>
        </w:tc>
        <w:tc>
          <w:tcPr>
            <w:tcW w:w="1980" w:type="dxa"/>
          </w:tcPr>
          <w:p w14:paraId="74066C7E" w14:textId="77777777" w:rsidR="002D7287" w:rsidRPr="002227F4" w:rsidRDefault="002D7287" w:rsidP="008A1AE6">
            <w:pPr>
              <w:rPr>
                <w:rFonts w:cs="Times New Roman"/>
                <w:b/>
                <w:sz w:val="24"/>
                <w:szCs w:val="24"/>
              </w:rPr>
            </w:pPr>
          </w:p>
        </w:tc>
      </w:tr>
      <w:tr w:rsidR="00193FCA" w:rsidRPr="002227F4" w14:paraId="6A60C59C" w14:textId="357D23D2" w:rsidTr="000E798B">
        <w:tc>
          <w:tcPr>
            <w:tcW w:w="4410" w:type="dxa"/>
          </w:tcPr>
          <w:p w14:paraId="3389BFC3" w14:textId="18F26FC5" w:rsidR="002D7287" w:rsidRPr="002227F4" w:rsidRDefault="002D7287" w:rsidP="009B5B8E">
            <w:pPr>
              <w:rPr>
                <w:rFonts w:cs="Times New Roman"/>
                <w:sz w:val="20"/>
                <w:szCs w:val="20"/>
              </w:rPr>
            </w:pPr>
            <w:r w:rsidRPr="002227F4">
              <w:rPr>
                <w:rFonts w:cs="Times New Roman"/>
                <w:b/>
                <w:sz w:val="20"/>
                <w:szCs w:val="20"/>
              </w:rPr>
              <w:t xml:space="preserve">III.10 </w:t>
            </w:r>
            <w:r w:rsidR="002A6ADF" w:rsidRPr="002227F4">
              <w:rPr>
                <w:rFonts w:cs="Times New Roman"/>
                <w:sz w:val="20"/>
                <w:szCs w:val="20"/>
              </w:rPr>
              <w:t>The program demonstrates how the results of the evaluation of faculty are systematically used to improve the program and to plan for the future.</w:t>
            </w:r>
          </w:p>
        </w:tc>
        <w:tc>
          <w:tcPr>
            <w:tcW w:w="4230" w:type="dxa"/>
            <w:gridSpan w:val="2"/>
          </w:tcPr>
          <w:p w14:paraId="60EC7566" w14:textId="77777777" w:rsidR="002D7287" w:rsidRPr="002227F4" w:rsidRDefault="002D7287" w:rsidP="009B5B8E">
            <w:pPr>
              <w:rPr>
                <w:rFonts w:cs="Times New Roman"/>
                <w:b/>
                <w:sz w:val="24"/>
                <w:szCs w:val="24"/>
              </w:rPr>
            </w:pPr>
          </w:p>
        </w:tc>
        <w:tc>
          <w:tcPr>
            <w:tcW w:w="3510" w:type="dxa"/>
          </w:tcPr>
          <w:p w14:paraId="3B195602" w14:textId="77777777" w:rsidR="002D7287" w:rsidRPr="002227F4" w:rsidRDefault="002D7287" w:rsidP="00620E48">
            <w:pPr>
              <w:rPr>
                <w:rFonts w:cs="Times New Roman"/>
                <w:b/>
                <w:sz w:val="24"/>
                <w:szCs w:val="24"/>
              </w:rPr>
            </w:pPr>
          </w:p>
        </w:tc>
        <w:tc>
          <w:tcPr>
            <w:tcW w:w="1980" w:type="dxa"/>
          </w:tcPr>
          <w:p w14:paraId="1CD4077B" w14:textId="77777777" w:rsidR="002D7287" w:rsidRPr="002227F4" w:rsidRDefault="002D7287" w:rsidP="00620E48">
            <w:pPr>
              <w:rPr>
                <w:rFonts w:cs="Times New Roman"/>
                <w:b/>
                <w:sz w:val="24"/>
                <w:szCs w:val="24"/>
              </w:rPr>
            </w:pPr>
          </w:p>
        </w:tc>
      </w:tr>
      <w:tr w:rsidR="00205FCF" w:rsidRPr="002227F4" w14:paraId="76FE2308" w14:textId="77777777" w:rsidTr="00B7150E">
        <w:trPr>
          <w:trHeight w:val="1464"/>
        </w:trPr>
        <w:tc>
          <w:tcPr>
            <w:tcW w:w="14130" w:type="dxa"/>
            <w:gridSpan w:val="5"/>
          </w:tcPr>
          <w:p w14:paraId="7DE9375F" w14:textId="2A29555F" w:rsidR="00205FCF" w:rsidRPr="002227F4" w:rsidRDefault="00205FCF" w:rsidP="00B7150E">
            <w:pPr>
              <w:rPr>
                <w:rFonts w:cs="Times New Roman"/>
                <w:b/>
                <w:sz w:val="24"/>
                <w:szCs w:val="24"/>
              </w:rPr>
            </w:pPr>
            <w:r w:rsidRPr="002227F4">
              <w:rPr>
                <w:rFonts w:cs="Times New Roman"/>
                <w:b/>
                <w:sz w:val="20"/>
                <w:szCs w:val="20"/>
              </w:rPr>
              <w:t>Summary Standard III</w:t>
            </w:r>
          </w:p>
        </w:tc>
      </w:tr>
      <w:tr w:rsidR="00AF3B21" w:rsidRPr="002227F4" w14:paraId="1F9777E9" w14:textId="0D2FCB82" w:rsidTr="000E798B">
        <w:trPr>
          <w:trHeight w:val="55"/>
        </w:trPr>
        <w:tc>
          <w:tcPr>
            <w:tcW w:w="4410" w:type="dxa"/>
            <w:shd w:val="clear" w:color="auto" w:fill="BFBFBF" w:themeFill="background1" w:themeFillShade="BF"/>
          </w:tcPr>
          <w:p w14:paraId="057321AE" w14:textId="77777777" w:rsidR="00AF3B21" w:rsidRPr="002227F4" w:rsidRDefault="00AF3B21" w:rsidP="009B5B8E">
            <w:pPr>
              <w:rPr>
                <w:rFonts w:cs="Times New Roman"/>
                <w:b/>
                <w:sz w:val="24"/>
                <w:szCs w:val="24"/>
              </w:rPr>
            </w:pPr>
            <w:r w:rsidRPr="002227F4">
              <w:rPr>
                <w:rFonts w:cs="Times New Roman"/>
                <w:b/>
                <w:sz w:val="24"/>
                <w:szCs w:val="24"/>
              </w:rPr>
              <w:t>IV Students</w:t>
            </w:r>
          </w:p>
        </w:tc>
        <w:tc>
          <w:tcPr>
            <w:tcW w:w="4230" w:type="dxa"/>
            <w:gridSpan w:val="2"/>
            <w:shd w:val="clear" w:color="auto" w:fill="BFBFBF" w:themeFill="background1" w:themeFillShade="BF"/>
          </w:tcPr>
          <w:p w14:paraId="6905D3B3" w14:textId="2ABC962E" w:rsidR="00AF3B21" w:rsidRPr="002227F4" w:rsidRDefault="001F4AE4" w:rsidP="009B5B8E">
            <w:pPr>
              <w:rPr>
                <w:rFonts w:cs="Times New Roman"/>
                <w:b/>
                <w:sz w:val="24"/>
                <w:szCs w:val="24"/>
              </w:rPr>
            </w:pPr>
            <w:r w:rsidRPr="001F4AE4">
              <w:rPr>
                <w:b/>
                <w:sz w:val="20"/>
                <w:szCs w:val="20"/>
              </w:rPr>
              <w:t>Source/Assertion</w:t>
            </w:r>
          </w:p>
        </w:tc>
        <w:tc>
          <w:tcPr>
            <w:tcW w:w="3510" w:type="dxa"/>
            <w:shd w:val="clear" w:color="auto" w:fill="BFBFBF" w:themeFill="background1" w:themeFillShade="BF"/>
          </w:tcPr>
          <w:p w14:paraId="24638937" w14:textId="43B050B8" w:rsidR="00AF3B21" w:rsidRPr="002227F4" w:rsidRDefault="001F4AE4" w:rsidP="00620E48">
            <w:pPr>
              <w:rPr>
                <w:rFonts w:cs="Times New Roman"/>
                <w:b/>
                <w:sz w:val="24"/>
                <w:szCs w:val="24"/>
              </w:rPr>
            </w:pPr>
            <w:r w:rsidRPr="001F4AE4">
              <w:rPr>
                <w:b/>
                <w:sz w:val="20"/>
                <w:szCs w:val="20"/>
              </w:rPr>
              <w:t>Evidence verified</w:t>
            </w:r>
          </w:p>
        </w:tc>
        <w:tc>
          <w:tcPr>
            <w:tcW w:w="1980" w:type="dxa"/>
            <w:shd w:val="clear" w:color="auto" w:fill="BFBFBF" w:themeFill="background1" w:themeFillShade="BF"/>
          </w:tcPr>
          <w:p w14:paraId="7D9EFB30" w14:textId="4775C7F6" w:rsidR="00AF3B21" w:rsidRPr="002227F4" w:rsidRDefault="005207C1" w:rsidP="0088067E">
            <w:pPr>
              <w:jc w:val="center"/>
              <w:rPr>
                <w:rFonts w:cs="Times New Roman"/>
                <w:b/>
                <w:sz w:val="24"/>
                <w:szCs w:val="24"/>
              </w:rPr>
            </w:pPr>
            <w:r w:rsidRPr="005207C1">
              <w:rPr>
                <w:b/>
                <w:sz w:val="20"/>
                <w:szCs w:val="20"/>
              </w:rPr>
              <w:t>Evidence supports compliance?</w:t>
            </w:r>
          </w:p>
        </w:tc>
      </w:tr>
      <w:tr w:rsidR="00193FCA" w:rsidRPr="002227F4" w14:paraId="15176D02" w14:textId="57174CC8" w:rsidTr="000E798B">
        <w:tc>
          <w:tcPr>
            <w:tcW w:w="4410" w:type="dxa"/>
          </w:tcPr>
          <w:p w14:paraId="6A242514" w14:textId="4F972E10" w:rsidR="002D7287" w:rsidRPr="002227F4" w:rsidRDefault="002D7287" w:rsidP="009B5B8E">
            <w:pPr>
              <w:rPr>
                <w:rFonts w:cs="Times New Roman"/>
                <w:sz w:val="20"/>
                <w:szCs w:val="20"/>
              </w:rPr>
            </w:pPr>
            <w:r w:rsidRPr="002227F4">
              <w:rPr>
                <w:rFonts w:cs="Times New Roman"/>
                <w:b/>
                <w:sz w:val="20"/>
                <w:szCs w:val="20"/>
              </w:rPr>
              <w:t xml:space="preserve">IV.1 </w:t>
            </w:r>
            <w:r w:rsidR="002A6ADF" w:rsidRPr="002227F4">
              <w:rPr>
                <w:rFonts w:cs="Times New Roman"/>
                <w:sz w:val="20"/>
                <w:szCs w:val="20"/>
              </w:rPr>
              <w:t>program formulates recruitment, admission, retention, financial aid, career services, and other academic and administrative policies for students that are consistent with the program's mission and program goals and objectives. These policies include the needs and values of the constituencies served by a program. The program has policies to recruit and retain students who reflect the diversity of North America's communities. The composition of the student body is such that it fosters a learning environment consistent with the program’s mission and program goals and objectives.</w:t>
            </w:r>
          </w:p>
        </w:tc>
        <w:tc>
          <w:tcPr>
            <w:tcW w:w="4230" w:type="dxa"/>
            <w:gridSpan w:val="2"/>
          </w:tcPr>
          <w:p w14:paraId="6C79BB68" w14:textId="77777777" w:rsidR="002D7287" w:rsidRPr="002227F4" w:rsidRDefault="002D7287" w:rsidP="009B5B8E">
            <w:pPr>
              <w:rPr>
                <w:rFonts w:cs="Times New Roman"/>
                <w:b/>
                <w:sz w:val="28"/>
                <w:szCs w:val="28"/>
              </w:rPr>
            </w:pPr>
          </w:p>
        </w:tc>
        <w:tc>
          <w:tcPr>
            <w:tcW w:w="3510" w:type="dxa"/>
          </w:tcPr>
          <w:p w14:paraId="58297A5B" w14:textId="77777777" w:rsidR="002D7287" w:rsidRPr="002227F4" w:rsidRDefault="002D7287" w:rsidP="008A1AE6">
            <w:pPr>
              <w:rPr>
                <w:rFonts w:cs="Times New Roman"/>
                <w:b/>
                <w:sz w:val="28"/>
                <w:szCs w:val="28"/>
              </w:rPr>
            </w:pPr>
          </w:p>
        </w:tc>
        <w:tc>
          <w:tcPr>
            <w:tcW w:w="1980" w:type="dxa"/>
          </w:tcPr>
          <w:p w14:paraId="33E987AC" w14:textId="77777777" w:rsidR="002D7287" w:rsidRPr="002227F4" w:rsidRDefault="002D7287" w:rsidP="008A1AE6">
            <w:pPr>
              <w:rPr>
                <w:rFonts w:cs="Times New Roman"/>
                <w:b/>
                <w:sz w:val="28"/>
                <w:szCs w:val="28"/>
              </w:rPr>
            </w:pPr>
          </w:p>
        </w:tc>
      </w:tr>
      <w:tr w:rsidR="00193FCA" w:rsidRPr="002227F4" w14:paraId="7C92C180" w14:textId="2106A45B" w:rsidTr="000E798B">
        <w:tc>
          <w:tcPr>
            <w:tcW w:w="4410" w:type="dxa"/>
          </w:tcPr>
          <w:p w14:paraId="10DFDF1E" w14:textId="75CF0E26" w:rsidR="002D7287" w:rsidRPr="002227F4" w:rsidRDefault="002D7287" w:rsidP="009B5B8E">
            <w:pPr>
              <w:rPr>
                <w:rFonts w:cs="Times New Roman"/>
                <w:sz w:val="20"/>
                <w:szCs w:val="20"/>
              </w:rPr>
            </w:pPr>
            <w:r w:rsidRPr="002227F4">
              <w:rPr>
                <w:rFonts w:cs="Times New Roman"/>
                <w:b/>
                <w:sz w:val="20"/>
                <w:szCs w:val="20"/>
              </w:rPr>
              <w:t xml:space="preserve">IV.2 </w:t>
            </w:r>
            <w:r w:rsidR="002A6ADF" w:rsidRPr="002227F4">
              <w:rPr>
                <w:rFonts w:cs="Times New Roman"/>
                <w:sz w:val="20"/>
                <w:szCs w:val="20"/>
              </w:rPr>
              <w:t>Current, accurate, and easily accessible information about the program is available to students and the general public. This information includes documentation of progress toward achievement of program goals and objectives, descriptions of curricula, information on faculty, admission requirements, availability of financial aid, criteria for evaluating student performance, assistance with placement, and other policies and procedures. The program demonstrates that it has procedures to support these policies.</w:t>
            </w:r>
          </w:p>
        </w:tc>
        <w:tc>
          <w:tcPr>
            <w:tcW w:w="4230" w:type="dxa"/>
            <w:gridSpan w:val="2"/>
          </w:tcPr>
          <w:p w14:paraId="68040077" w14:textId="77777777" w:rsidR="002D7287" w:rsidRPr="002227F4" w:rsidRDefault="002D7287" w:rsidP="009B5B8E">
            <w:pPr>
              <w:rPr>
                <w:rFonts w:cs="Times New Roman"/>
                <w:b/>
                <w:sz w:val="28"/>
                <w:szCs w:val="28"/>
              </w:rPr>
            </w:pPr>
          </w:p>
        </w:tc>
        <w:tc>
          <w:tcPr>
            <w:tcW w:w="3510" w:type="dxa"/>
          </w:tcPr>
          <w:p w14:paraId="4387F4CF" w14:textId="77777777" w:rsidR="002D7287" w:rsidRPr="002227F4" w:rsidRDefault="002D7287" w:rsidP="00620E48">
            <w:pPr>
              <w:rPr>
                <w:rFonts w:cs="Times New Roman"/>
                <w:b/>
                <w:sz w:val="28"/>
                <w:szCs w:val="28"/>
              </w:rPr>
            </w:pPr>
          </w:p>
        </w:tc>
        <w:tc>
          <w:tcPr>
            <w:tcW w:w="1980" w:type="dxa"/>
          </w:tcPr>
          <w:p w14:paraId="16DC0CDB" w14:textId="77777777" w:rsidR="002D7287" w:rsidRPr="002227F4" w:rsidRDefault="002D7287" w:rsidP="00620E48">
            <w:pPr>
              <w:rPr>
                <w:rFonts w:cs="Times New Roman"/>
                <w:b/>
                <w:sz w:val="28"/>
                <w:szCs w:val="28"/>
              </w:rPr>
            </w:pPr>
          </w:p>
        </w:tc>
      </w:tr>
      <w:tr w:rsidR="00193FCA" w:rsidRPr="002227F4" w14:paraId="52546F2A" w14:textId="12E5E037" w:rsidTr="000E798B">
        <w:tc>
          <w:tcPr>
            <w:tcW w:w="4410" w:type="dxa"/>
          </w:tcPr>
          <w:p w14:paraId="25163766" w14:textId="4685FF6E" w:rsidR="002D7287" w:rsidRPr="002227F4" w:rsidRDefault="002D7287" w:rsidP="009B5B8E">
            <w:pPr>
              <w:rPr>
                <w:rFonts w:cs="Times New Roman"/>
                <w:sz w:val="20"/>
                <w:szCs w:val="20"/>
              </w:rPr>
            </w:pPr>
            <w:r w:rsidRPr="002227F4">
              <w:rPr>
                <w:rFonts w:cs="Times New Roman"/>
                <w:b/>
                <w:sz w:val="20"/>
                <w:szCs w:val="20"/>
              </w:rPr>
              <w:t xml:space="preserve">IV.3 </w:t>
            </w:r>
            <w:r w:rsidR="00BB179E" w:rsidRPr="002227F4">
              <w:rPr>
                <w:rFonts w:cs="Times New Roman"/>
                <w:sz w:val="20"/>
                <w:szCs w:val="20"/>
              </w:rPr>
              <w:t xml:space="preserve">Standards for admission are applied consistently. Students admitted to a program have </w:t>
            </w:r>
            <w:r w:rsidR="00BB179E" w:rsidRPr="002227F4">
              <w:rPr>
                <w:rFonts w:cs="Times New Roman"/>
                <w:sz w:val="20"/>
                <w:szCs w:val="20"/>
              </w:rPr>
              <w:lastRenderedPageBreak/>
              <w:t>earned a bachelor's degree from an accredited institution; the policies and procedures for waiving any admission standard or academic prerequisite are stated clearly and applied consistently. Assessment of an application is based on a combined evaluation of academic, intellectual, and other qualifications as they relate to the constituencies served by a program, a program's goals and objectives, and the career objectives of the individual. Within the framework of institutional policy and programs, the admission policy for a program ensures that applicants possess sufficient interest, aptitude, and qualifications to enable successful completion of a program and subsequent contribution to the field.</w:t>
            </w:r>
          </w:p>
        </w:tc>
        <w:tc>
          <w:tcPr>
            <w:tcW w:w="4230" w:type="dxa"/>
            <w:gridSpan w:val="2"/>
          </w:tcPr>
          <w:p w14:paraId="2CFBC8D5" w14:textId="77777777" w:rsidR="002D7287" w:rsidRPr="002227F4" w:rsidRDefault="002D7287" w:rsidP="009B5B8E">
            <w:pPr>
              <w:rPr>
                <w:rFonts w:cs="Times New Roman"/>
                <w:b/>
                <w:sz w:val="28"/>
                <w:szCs w:val="28"/>
              </w:rPr>
            </w:pPr>
          </w:p>
        </w:tc>
        <w:tc>
          <w:tcPr>
            <w:tcW w:w="3510" w:type="dxa"/>
          </w:tcPr>
          <w:p w14:paraId="6C90B899" w14:textId="77777777" w:rsidR="002D7287" w:rsidRPr="002227F4" w:rsidRDefault="002D7287" w:rsidP="00620E48">
            <w:pPr>
              <w:rPr>
                <w:rFonts w:cs="Times New Roman"/>
                <w:b/>
                <w:sz w:val="28"/>
                <w:szCs w:val="28"/>
              </w:rPr>
            </w:pPr>
          </w:p>
        </w:tc>
        <w:tc>
          <w:tcPr>
            <w:tcW w:w="1980" w:type="dxa"/>
          </w:tcPr>
          <w:p w14:paraId="17D7495E" w14:textId="77777777" w:rsidR="002D7287" w:rsidRPr="002227F4" w:rsidRDefault="002D7287" w:rsidP="00620E48">
            <w:pPr>
              <w:rPr>
                <w:rFonts w:cs="Times New Roman"/>
                <w:b/>
                <w:sz w:val="28"/>
                <w:szCs w:val="28"/>
              </w:rPr>
            </w:pPr>
          </w:p>
        </w:tc>
      </w:tr>
      <w:tr w:rsidR="00193FCA" w:rsidRPr="002227F4" w14:paraId="7E88E102" w14:textId="39265525" w:rsidTr="000E798B">
        <w:tc>
          <w:tcPr>
            <w:tcW w:w="4410" w:type="dxa"/>
          </w:tcPr>
          <w:p w14:paraId="0C398BA8" w14:textId="6665B6F4" w:rsidR="002D7287" w:rsidRPr="002227F4" w:rsidRDefault="002D7287" w:rsidP="009B5B8E">
            <w:pPr>
              <w:rPr>
                <w:rFonts w:cs="Times New Roman"/>
                <w:sz w:val="20"/>
                <w:szCs w:val="20"/>
              </w:rPr>
            </w:pPr>
            <w:r w:rsidRPr="002227F4">
              <w:rPr>
                <w:rFonts w:cs="Times New Roman"/>
                <w:b/>
                <w:sz w:val="20"/>
                <w:szCs w:val="20"/>
              </w:rPr>
              <w:t xml:space="preserve">IV.4 </w:t>
            </w:r>
            <w:r w:rsidR="00BB179E" w:rsidRPr="002227F4">
              <w:rPr>
                <w:rFonts w:cs="Times New Roman"/>
                <w:sz w:val="20"/>
                <w:szCs w:val="20"/>
              </w:rPr>
              <w:t>Students construct a coherent plan of study that allows individual needs, goals, and aspirations to be met within the context of requirements established by the program. Students receive systematic, multifaceted evaluation of their achievements. Students have access to continuing opportunities for guidance, counseling, and placement assistance.</w:t>
            </w:r>
          </w:p>
        </w:tc>
        <w:tc>
          <w:tcPr>
            <w:tcW w:w="4230" w:type="dxa"/>
            <w:gridSpan w:val="2"/>
          </w:tcPr>
          <w:p w14:paraId="620F42F7" w14:textId="77777777" w:rsidR="002D7287" w:rsidRPr="002227F4" w:rsidRDefault="002D7287" w:rsidP="009B5B8E">
            <w:pPr>
              <w:rPr>
                <w:rFonts w:cs="Times New Roman"/>
                <w:b/>
                <w:sz w:val="28"/>
                <w:szCs w:val="28"/>
              </w:rPr>
            </w:pPr>
          </w:p>
        </w:tc>
        <w:tc>
          <w:tcPr>
            <w:tcW w:w="3510" w:type="dxa"/>
          </w:tcPr>
          <w:p w14:paraId="27212153" w14:textId="77777777" w:rsidR="002D7287" w:rsidRPr="002227F4" w:rsidRDefault="002D7287" w:rsidP="00620E48">
            <w:pPr>
              <w:rPr>
                <w:rFonts w:cs="Times New Roman"/>
                <w:b/>
                <w:sz w:val="28"/>
                <w:szCs w:val="28"/>
              </w:rPr>
            </w:pPr>
          </w:p>
        </w:tc>
        <w:tc>
          <w:tcPr>
            <w:tcW w:w="1980" w:type="dxa"/>
          </w:tcPr>
          <w:p w14:paraId="0E9D368D" w14:textId="77777777" w:rsidR="002D7287" w:rsidRPr="002227F4" w:rsidRDefault="002D7287" w:rsidP="00620E48">
            <w:pPr>
              <w:rPr>
                <w:rFonts w:cs="Times New Roman"/>
                <w:b/>
                <w:sz w:val="28"/>
                <w:szCs w:val="28"/>
              </w:rPr>
            </w:pPr>
          </w:p>
        </w:tc>
      </w:tr>
      <w:tr w:rsidR="00193FCA" w:rsidRPr="002227F4" w14:paraId="2B320B63" w14:textId="404264FD" w:rsidTr="000E798B">
        <w:tc>
          <w:tcPr>
            <w:tcW w:w="4410" w:type="dxa"/>
          </w:tcPr>
          <w:p w14:paraId="642CFD6A" w14:textId="1E18FCB0" w:rsidR="002D7287" w:rsidRPr="002227F4" w:rsidRDefault="002D7287" w:rsidP="009B5B8E">
            <w:pPr>
              <w:rPr>
                <w:rFonts w:cs="Times New Roman"/>
                <w:sz w:val="20"/>
                <w:szCs w:val="20"/>
              </w:rPr>
            </w:pPr>
            <w:r w:rsidRPr="002227F4">
              <w:rPr>
                <w:rFonts w:cs="Times New Roman"/>
                <w:b/>
                <w:sz w:val="20"/>
                <w:szCs w:val="20"/>
              </w:rPr>
              <w:t xml:space="preserve">IV.5 </w:t>
            </w:r>
            <w:r w:rsidR="00BB179E" w:rsidRPr="002227F4">
              <w:rPr>
                <w:rFonts w:cs="Times New Roman"/>
                <w:sz w:val="20"/>
                <w:szCs w:val="20"/>
              </w:rPr>
              <w:t>The program provides an environment that fosters student participation in the definition and determination of the total learning experience. Students are provided with opportunities to:</w:t>
            </w:r>
          </w:p>
        </w:tc>
        <w:tc>
          <w:tcPr>
            <w:tcW w:w="4230" w:type="dxa"/>
            <w:gridSpan w:val="2"/>
          </w:tcPr>
          <w:p w14:paraId="5C28FB00" w14:textId="77777777" w:rsidR="002D7287" w:rsidRPr="002227F4" w:rsidRDefault="002D7287" w:rsidP="009B5B8E">
            <w:pPr>
              <w:rPr>
                <w:rFonts w:cs="Times New Roman"/>
                <w:b/>
                <w:sz w:val="28"/>
                <w:szCs w:val="28"/>
              </w:rPr>
            </w:pPr>
          </w:p>
        </w:tc>
        <w:tc>
          <w:tcPr>
            <w:tcW w:w="3510" w:type="dxa"/>
          </w:tcPr>
          <w:p w14:paraId="7E0918F0" w14:textId="77777777" w:rsidR="002D7287" w:rsidRPr="002227F4" w:rsidRDefault="002D7287" w:rsidP="00620E48">
            <w:pPr>
              <w:rPr>
                <w:rFonts w:cs="Times New Roman"/>
                <w:b/>
                <w:sz w:val="28"/>
                <w:szCs w:val="28"/>
              </w:rPr>
            </w:pPr>
          </w:p>
        </w:tc>
        <w:tc>
          <w:tcPr>
            <w:tcW w:w="1980" w:type="dxa"/>
          </w:tcPr>
          <w:p w14:paraId="4E29065E" w14:textId="77777777" w:rsidR="002D7287" w:rsidRPr="002227F4" w:rsidRDefault="002D7287" w:rsidP="00620E48">
            <w:pPr>
              <w:rPr>
                <w:rFonts w:cs="Times New Roman"/>
                <w:b/>
                <w:sz w:val="28"/>
                <w:szCs w:val="28"/>
              </w:rPr>
            </w:pPr>
          </w:p>
        </w:tc>
      </w:tr>
      <w:tr w:rsidR="00193FCA" w:rsidRPr="002227F4" w14:paraId="6004F235" w14:textId="77777777" w:rsidTr="000E798B">
        <w:tc>
          <w:tcPr>
            <w:tcW w:w="4410" w:type="dxa"/>
          </w:tcPr>
          <w:p w14:paraId="667FD773" w14:textId="7A3B09E4" w:rsidR="00BB179E" w:rsidRPr="002227F4" w:rsidRDefault="00BB179E" w:rsidP="009B5B8E">
            <w:pPr>
              <w:rPr>
                <w:rFonts w:cs="Times New Roman"/>
                <w:sz w:val="20"/>
                <w:szCs w:val="20"/>
              </w:rPr>
            </w:pPr>
            <w:r w:rsidRPr="002227F4">
              <w:rPr>
                <w:rFonts w:cs="Times New Roman"/>
                <w:b/>
                <w:sz w:val="20"/>
                <w:szCs w:val="20"/>
              </w:rPr>
              <w:t xml:space="preserve">IV.5.1 </w:t>
            </w:r>
            <w:r w:rsidRPr="002227F4">
              <w:rPr>
                <w:rFonts w:cs="Times New Roman"/>
                <w:sz w:val="20"/>
                <w:szCs w:val="20"/>
              </w:rPr>
              <w:t>Participate in the formulation, modification, and implementation of policies affecting academic and student affairs;</w:t>
            </w:r>
          </w:p>
        </w:tc>
        <w:tc>
          <w:tcPr>
            <w:tcW w:w="4230" w:type="dxa"/>
            <w:gridSpan w:val="2"/>
          </w:tcPr>
          <w:p w14:paraId="51794991" w14:textId="77777777" w:rsidR="00BB179E" w:rsidRPr="002227F4" w:rsidRDefault="00BB179E" w:rsidP="009B5B8E">
            <w:pPr>
              <w:rPr>
                <w:rFonts w:cs="Times New Roman"/>
                <w:b/>
                <w:sz w:val="28"/>
                <w:szCs w:val="28"/>
              </w:rPr>
            </w:pPr>
          </w:p>
        </w:tc>
        <w:tc>
          <w:tcPr>
            <w:tcW w:w="3510" w:type="dxa"/>
          </w:tcPr>
          <w:p w14:paraId="35082401" w14:textId="77777777" w:rsidR="00BB179E" w:rsidRPr="002227F4" w:rsidRDefault="00BB179E" w:rsidP="008A1AE6">
            <w:pPr>
              <w:rPr>
                <w:rFonts w:cs="Times New Roman"/>
                <w:b/>
                <w:sz w:val="28"/>
                <w:szCs w:val="28"/>
              </w:rPr>
            </w:pPr>
          </w:p>
        </w:tc>
        <w:tc>
          <w:tcPr>
            <w:tcW w:w="1980" w:type="dxa"/>
          </w:tcPr>
          <w:p w14:paraId="145A1C86" w14:textId="77777777" w:rsidR="00BB179E" w:rsidRPr="002227F4" w:rsidRDefault="00BB179E" w:rsidP="008A1AE6">
            <w:pPr>
              <w:rPr>
                <w:rFonts w:cs="Times New Roman"/>
                <w:b/>
                <w:sz w:val="28"/>
                <w:szCs w:val="28"/>
              </w:rPr>
            </w:pPr>
          </w:p>
        </w:tc>
      </w:tr>
      <w:tr w:rsidR="00193FCA" w:rsidRPr="002227F4" w14:paraId="2DF13DE5" w14:textId="77777777" w:rsidTr="000E798B">
        <w:tc>
          <w:tcPr>
            <w:tcW w:w="4410" w:type="dxa"/>
          </w:tcPr>
          <w:p w14:paraId="0936444A" w14:textId="04BFDB54" w:rsidR="00BB179E" w:rsidRPr="002227F4" w:rsidRDefault="00BB179E" w:rsidP="009B5B8E">
            <w:pPr>
              <w:rPr>
                <w:rFonts w:cs="Times New Roman"/>
                <w:b/>
                <w:sz w:val="20"/>
                <w:szCs w:val="20"/>
              </w:rPr>
            </w:pPr>
            <w:r w:rsidRPr="002227F4">
              <w:rPr>
                <w:rFonts w:cs="Times New Roman"/>
                <w:b/>
                <w:sz w:val="20"/>
                <w:szCs w:val="20"/>
              </w:rPr>
              <w:t xml:space="preserve">IV.5.2 </w:t>
            </w:r>
            <w:r w:rsidRPr="002227F4">
              <w:rPr>
                <w:rFonts w:cs="Times New Roman"/>
                <w:sz w:val="20"/>
                <w:szCs w:val="20"/>
              </w:rPr>
              <w:t>Participate in research;</w:t>
            </w:r>
            <w:r w:rsidRPr="002227F4">
              <w:rPr>
                <w:rFonts w:cs="Times New Roman"/>
                <w:b/>
                <w:sz w:val="20"/>
                <w:szCs w:val="20"/>
              </w:rPr>
              <w:t xml:space="preserve"> </w:t>
            </w:r>
          </w:p>
        </w:tc>
        <w:tc>
          <w:tcPr>
            <w:tcW w:w="4230" w:type="dxa"/>
            <w:gridSpan w:val="2"/>
          </w:tcPr>
          <w:p w14:paraId="01E69165" w14:textId="77777777" w:rsidR="00BB179E" w:rsidRPr="002227F4" w:rsidRDefault="00BB179E" w:rsidP="009B5B8E">
            <w:pPr>
              <w:rPr>
                <w:rFonts w:cs="Times New Roman"/>
                <w:b/>
                <w:sz w:val="28"/>
                <w:szCs w:val="28"/>
              </w:rPr>
            </w:pPr>
          </w:p>
        </w:tc>
        <w:tc>
          <w:tcPr>
            <w:tcW w:w="3510" w:type="dxa"/>
          </w:tcPr>
          <w:p w14:paraId="05648040" w14:textId="77777777" w:rsidR="00BB179E" w:rsidRPr="002227F4" w:rsidRDefault="00BB179E" w:rsidP="008A1AE6">
            <w:pPr>
              <w:rPr>
                <w:rFonts w:cs="Times New Roman"/>
                <w:b/>
                <w:sz w:val="28"/>
                <w:szCs w:val="28"/>
              </w:rPr>
            </w:pPr>
          </w:p>
        </w:tc>
        <w:tc>
          <w:tcPr>
            <w:tcW w:w="1980" w:type="dxa"/>
          </w:tcPr>
          <w:p w14:paraId="7B98BF56" w14:textId="77777777" w:rsidR="00BB179E" w:rsidRPr="002227F4" w:rsidRDefault="00BB179E" w:rsidP="008A1AE6">
            <w:pPr>
              <w:rPr>
                <w:rFonts w:cs="Times New Roman"/>
                <w:b/>
                <w:sz w:val="28"/>
                <w:szCs w:val="28"/>
              </w:rPr>
            </w:pPr>
          </w:p>
        </w:tc>
      </w:tr>
      <w:tr w:rsidR="00193FCA" w:rsidRPr="002227F4" w14:paraId="038B7BB0" w14:textId="77777777" w:rsidTr="000E798B">
        <w:tc>
          <w:tcPr>
            <w:tcW w:w="4410" w:type="dxa"/>
          </w:tcPr>
          <w:p w14:paraId="409B7230" w14:textId="6F9A8036" w:rsidR="00BB179E" w:rsidRPr="002227F4" w:rsidRDefault="00BB179E" w:rsidP="009B5B8E">
            <w:pPr>
              <w:rPr>
                <w:rFonts w:cs="Times New Roman"/>
                <w:sz w:val="20"/>
                <w:szCs w:val="20"/>
              </w:rPr>
            </w:pPr>
            <w:r w:rsidRPr="002227F4">
              <w:rPr>
                <w:rFonts w:cs="Times New Roman"/>
                <w:b/>
                <w:sz w:val="20"/>
                <w:szCs w:val="20"/>
              </w:rPr>
              <w:t xml:space="preserve">IV.5.3 </w:t>
            </w:r>
            <w:r w:rsidRPr="002227F4">
              <w:rPr>
                <w:rFonts w:cs="Times New Roman"/>
                <w:sz w:val="20"/>
                <w:szCs w:val="20"/>
              </w:rPr>
              <w:t>Receive academic and career advisement and consultation;</w:t>
            </w:r>
          </w:p>
        </w:tc>
        <w:tc>
          <w:tcPr>
            <w:tcW w:w="4230" w:type="dxa"/>
            <w:gridSpan w:val="2"/>
          </w:tcPr>
          <w:p w14:paraId="26786E76" w14:textId="77777777" w:rsidR="00BB179E" w:rsidRPr="002227F4" w:rsidRDefault="00BB179E" w:rsidP="009B5B8E">
            <w:pPr>
              <w:rPr>
                <w:rFonts w:cs="Times New Roman"/>
                <w:b/>
                <w:sz w:val="28"/>
                <w:szCs w:val="28"/>
              </w:rPr>
            </w:pPr>
          </w:p>
        </w:tc>
        <w:tc>
          <w:tcPr>
            <w:tcW w:w="3510" w:type="dxa"/>
          </w:tcPr>
          <w:p w14:paraId="7532623B" w14:textId="77777777" w:rsidR="00BB179E" w:rsidRPr="002227F4" w:rsidRDefault="00BB179E" w:rsidP="008A1AE6">
            <w:pPr>
              <w:rPr>
                <w:rFonts w:cs="Times New Roman"/>
                <w:b/>
                <w:sz w:val="28"/>
                <w:szCs w:val="28"/>
              </w:rPr>
            </w:pPr>
          </w:p>
        </w:tc>
        <w:tc>
          <w:tcPr>
            <w:tcW w:w="1980" w:type="dxa"/>
          </w:tcPr>
          <w:p w14:paraId="28EF6892" w14:textId="77777777" w:rsidR="00BB179E" w:rsidRPr="002227F4" w:rsidRDefault="00BB179E" w:rsidP="008A1AE6">
            <w:pPr>
              <w:rPr>
                <w:rFonts w:cs="Times New Roman"/>
                <w:b/>
                <w:sz w:val="28"/>
                <w:szCs w:val="28"/>
              </w:rPr>
            </w:pPr>
          </w:p>
        </w:tc>
      </w:tr>
      <w:tr w:rsidR="00193FCA" w:rsidRPr="002227F4" w14:paraId="488D4438" w14:textId="77777777" w:rsidTr="000E798B">
        <w:tc>
          <w:tcPr>
            <w:tcW w:w="4410" w:type="dxa"/>
          </w:tcPr>
          <w:p w14:paraId="5A0DEAC8" w14:textId="515BDCEA" w:rsidR="00BB179E" w:rsidRPr="002227F4" w:rsidRDefault="00BB179E" w:rsidP="009B5B8E">
            <w:pPr>
              <w:rPr>
                <w:rFonts w:cs="Times New Roman"/>
                <w:sz w:val="20"/>
                <w:szCs w:val="20"/>
              </w:rPr>
            </w:pPr>
            <w:r w:rsidRPr="002227F4">
              <w:rPr>
                <w:rFonts w:cs="Times New Roman"/>
                <w:b/>
                <w:sz w:val="20"/>
                <w:szCs w:val="20"/>
              </w:rPr>
              <w:t xml:space="preserve">IV.5.4 </w:t>
            </w:r>
            <w:r w:rsidRPr="002227F4">
              <w:rPr>
                <w:rFonts w:cs="Times New Roman"/>
                <w:sz w:val="20"/>
                <w:szCs w:val="20"/>
              </w:rPr>
              <w:t>Receive support services as needed;</w:t>
            </w:r>
          </w:p>
        </w:tc>
        <w:tc>
          <w:tcPr>
            <w:tcW w:w="4230" w:type="dxa"/>
            <w:gridSpan w:val="2"/>
          </w:tcPr>
          <w:p w14:paraId="62F4D83D" w14:textId="77777777" w:rsidR="00BB179E" w:rsidRPr="002227F4" w:rsidRDefault="00BB179E" w:rsidP="009B5B8E">
            <w:pPr>
              <w:rPr>
                <w:rFonts w:cs="Times New Roman"/>
                <w:b/>
                <w:sz w:val="28"/>
                <w:szCs w:val="28"/>
              </w:rPr>
            </w:pPr>
          </w:p>
        </w:tc>
        <w:tc>
          <w:tcPr>
            <w:tcW w:w="3510" w:type="dxa"/>
          </w:tcPr>
          <w:p w14:paraId="66189757" w14:textId="77777777" w:rsidR="00BB179E" w:rsidRPr="002227F4" w:rsidRDefault="00BB179E" w:rsidP="008A1AE6">
            <w:pPr>
              <w:rPr>
                <w:rFonts w:cs="Times New Roman"/>
                <w:b/>
                <w:sz w:val="28"/>
                <w:szCs w:val="28"/>
              </w:rPr>
            </w:pPr>
          </w:p>
        </w:tc>
        <w:tc>
          <w:tcPr>
            <w:tcW w:w="1980" w:type="dxa"/>
          </w:tcPr>
          <w:p w14:paraId="5872D61F" w14:textId="77777777" w:rsidR="00BB179E" w:rsidRPr="002227F4" w:rsidRDefault="00BB179E" w:rsidP="008A1AE6">
            <w:pPr>
              <w:rPr>
                <w:rFonts w:cs="Times New Roman"/>
                <w:b/>
                <w:sz w:val="28"/>
                <w:szCs w:val="28"/>
              </w:rPr>
            </w:pPr>
          </w:p>
        </w:tc>
      </w:tr>
      <w:tr w:rsidR="00193FCA" w:rsidRPr="002227F4" w14:paraId="73DE79E5" w14:textId="77777777" w:rsidTr="000E798B">
        <w:tc>
          <w:tcPr>
            <w:tcW w:w="4410" w:type="dxa"/>
          </w:tcPr>
          <w:p w14:paraId="26064A33" w14:textId="06CB76DC" w:rsidR="00BB179E" w:rsidRPr="002227F4" w:rsidRDefault="00BB179E" w:rsidP="009B5B8E">
            <w:pPr>
              <w:rPr>
                <w:rFonts w:cs="Times New Roman"/>
                <w:b/>
                <w:sz w:val="20"/>
                <w:szCs w:val="20"/>
              </w:rPr>
            </w:pPr>
            <w:r w:rsidRPr="002227F4">
              <w:rPr>
                <w:rFonts w:cs="Times New Roman"/>
                <w:b/>
                <w:sz w:val="20"/>
                <w:szCs w:val="20"/>
              </w:rPr>
              <w:t xml:space="preserve">IV.5.5 </w:t>
            </w:r>
            <w:r w:rsidRPr="002227F4">
              <w:rPr>
                <w:rFonts w:cs="Times New Roman"/>
                <w:sz w:val="20"/>
                <w:szCs w:val="20"/>
              </w:rPr>
              <w:t>Form student organizations;</w:t>
            </w:r>
          </w:p>
        </w:tc>
        <w:tc>
          <w:tcPr>
            <w:tcW w:w="4230" w:type="dxa"/>
            <w:gridSpan w:val="2"/>
          </w:tcPr>
          <w:p w14:paraId="5A59417F" w14:textId="77777777" w:rsidR="00BB179E" w:rsidRPr="002227F4" w:rsidRDefault="00BB179E" w:rsidP="009B5B8E">
            <w:pPr>
              <w:rPr>
                <w:rFonts w:cs="Times New Roman"/>
                <w:b/>
                <w:sz w:val="28"/>
                <w:szCs w:val="28"/>
              </w:rPr>
            </w:pPr>
          </w:p>
        </w:tc>
        <w:tc>
          <w:tcPr>
            <w:tcW w:w="3510" w:type="dxa"/>
          </w:tcPr>
          <w:p w14:paraId="2D327D1B" w14:textId="77777777" w:rsidR="00BB179E" w:rsidRPr="002227F4" w:rsidRDefault="00BB179E" w:rsidP="008A1AE6">
            <w:pPr>
              <w:rPr>
                <w:rFonts w:cs="Times New Roman"/>
                <w:b/>
                <w:sz w:val="28"/>
                <w:szCs w:val="28"/>
              </w:rPr>
            </w:pPr>
          </w:p>
        </w:tc>
        <w:tc>
          <w:tcPr>
            <w:tcW w:w="1980" w:type="dxa"/>
          </w:tcPr>
          <w:p w14:paraId="04F631BB" w14:textId="77777777" w:rsidR="00BB179E" w:rsidRPr="002227F4" w:rsidRDefault="00BB179E" w:rsidP="008A1AE6">
            <w:pPr>
              <w:rPr>
                <w:rFonts w:cs="Times New Roman"/>
                <w:b/>
                <w:sz w:val="28"/>
                <w:szCs w:val="28"/>
              </w:rPr>
            </w:pPr>
          </w:p>
        </w:tc>
      </w:tr>
      <w:tr w:rsidR="00193FCA" w:rsidRPr="002227F4" w14:paraId="32F212F5" w14:textId="77777777" w:rsidTr="000E798B">
        <w:tc>
          <w:tcPr>
            <w:tcW w:w="4410" w:type="dxa"/>
          </w:tcPr>
          <w:p w14:paraId="4880DF85" w14:textId="1BE758A9" w:rsidR="00BB179E" w:rsidRPr="002227F4" w:rsidRDefault="00BB179E" w:rsidP="009B5B8E">
            <w:pPr>
              <w:rPr>
                <w:rFonts w:cs="Times New Roman"/>
                <w:b/>
                <w:sz w:val="20"/>
                <w:szCs w:val="20"/>
              </w:rPr>
            </w:pPr>
            <w:r w:rsidRPr="002227F4">
              <w:rPr>
                <w:rFonts w:cs="Times New Roman"/>
                <w:b/>
                <w:sz w:val="20"/>
                <w:szCs w:val="20"/>
              </w:rPr>
              <w:t xml:space="preserve">IV.5.6 </w:t>
            </w:r>
            <w:r w:rsidRPr="002227F4">
              <w:rPr>
                <w:rFonts w:cs="Times New Roman"/>
                <w:sz w:val="20"/>
                <w:szCs w:val="20"/>
              </w:rPr>
              <w:t>Participate in professional organizations.</w:t>
            </w:r>
          </w:p>
        </w:tc>
        <w:tc>
          <w:tcPr>
            <w:tcW w:w="4230" w:type="dxa"/>
            <w:gridSpan w:val="2"/>
          </w:tcPr>
          <w:p w14:paraId="130BC517" w14:textId="77777777" w:rsidR="00BB179E" w:rsidRPr="002227F4" w:rsidRDefault="00BB179E" w:rsidP="009B5B8E">
            <w:pPr>
              <w:rPr>
                <w:rFonts w:cs="Times New Roman"/>
                <w:b/>
                <w:sz w:val="28"/>
                <w:szCs w:val="28"/>
              </w:rPr>
            </w:pPr>
          </w:p>
        </w:tc>
        <w:tc>
          <w:tcPr>
            <w:tcW w:w="3510" w:type="dxa"/>
          </w:tcPr>
          <w:p w14:paraId="4594B9AE" w14:textId="77777777" w:rsidR="00BB179E" w:rsidRPr="002227F4" w:rsidRDefault="00BB179E" w:rsidP="008A1AE6">
            <w:pPr>
              <w:rPr>
                <w:rFonts w:cs="Times New Roman"/>
                <w:b/>
                <w:sz w:val="28"/>
                <w:szCs w:val="28"/>
              </w:rPr>
            </w:pPr>
          </w:p>
        </w:tc>
        <w:tc>
          <w:tcPr>
            <w:tcW w:w="1980" w:type="dxa"/>
          </w:tcPr>
          <w:p w14:paraId="75A41622" w14:textId="77777777" w:rsidR="00BB179E" w:rsidRPr="002227F4" w:rsidRDefault="00BB179E" w:rsidP="008A1AE6">
            <w:pPr>
              <w:rPr>
                <w:rFonts w:cs="Times New Roman"/>
                <w:b/>
                <w:sz w:val="28"/>
                <w:szCs w:val="28"/>
              </w:rPr>
            </w:pPr>
          </w:p>
        </w:tc>
      </w:tr>
      <w:tr w:rsidR="00193FCA" w:rsidRPr="002227F4" w14:paraId="2A773B02" w14:textId="16E6106E" w:rsidTr="000E798B">
        <w:tc>
          <w:tcPr>
            <w:tcW w:w="4410" w:type="dxa"/>
          </w:tcPr>
          <w:p w14:paraId="31963621" w14:textId="1CEF664E" w:rsidR="002D7287" w:rsidRPr="002227F4" w:rsidRDefault="002D7287" w:rsidP="009B5B8E">
            <w:pPr>
              <w:rPr>
                <w:rFonts w:cs="Times New Roman"/>
                <w:sz w:val="20"/>
                <w:szCs w:val="20"/>
              </w:rPr>
            </w:pPr>
            <w:r w:rsidRPr="002227F4">
              <w:rPr>
                <w:rFonts w:cs="Times New Roman"/>
                <w:b/>
                <w:sz w:val="20"/>
                <w:szCs w:val="20"/>
              </w:rPr>
              <w:t xml:space="preserve">IV.6 </w:t>
            </w:r>
            <w:r w:rsidR="00BB179E" w:rsidRPr="002227F4">
              <w:rPr>
                <w:rFonts w:cs="Times New Roman"/>
                <w:sz w:val="20"/>
                <w:szCs w:val="20"/>
              </w:rPr>
              <w:t xml:space="preserve">The program applies the results of evaluation </w:t>
            </w:r>
            <w:r w:rsidR="00BB179E" w:rsidRPr="002227F4">
              <w:rPr>
                <w:rFonts w:cs="Times New Roman"/>
                <w:sz w:val="20"/>
                <w:szCs w:val="20"/>
              </w:rPr>
              <w:lastRenderedPageBreak/>
              <w:t>of student achievement to program development. Procedures are established for systematic evaluation of the degree to which a program's academic and administrative policies and activities regarding students are accomplishing its objectives. Within applicable institutional policies, faculty, students, staff, and others are involved in the evaluation process.</w:t>
            </w:r>
          </w:p>
        </w:tc>
        <w:tc>
          <w:tcPr>
            <w:tcW w:w="4230" w:type="dxa"/>
            <w:gridSpan w:val="2"/>
          </w:tcPr>
          <w:p w14:paraId="30D65B3F" w14:textId="77777777" w:rsidR="002D7287" w:rsidRPr="002227F4" w:rsidRDefault="002D7287" w:rsidP="009B5B8E">
            <w:pPr>
              <w:rPr>
                <w:rFonts w:cs="Times New Roman"/>
                <w:b/>
                <w:sz w:val="28"/>
                <w:szCs w:val="28"/>
              </w:rPr>
            </w:pPr>
          </w:p>
        </w:tc>
        <w:tc>
          <w:tcPr>
            <w:tcW w:w="3510" w:type="dxa"/>
          </w:tcPr>
          <w:p w14:paraId="54A7BE48" w14:textId="77777777" w:rsidR="002D7287" w:rsidRPr="002227F4" w:rsidRDefault="002D7287" w:rsidP="008A1AE6">
            <w:pPr>
              <w:rPr>
                <w:rFonts w:cs="Times New Roman"/>
                <w:b/>
                <w:sz w:val="28"/>
                <w:szCs w:val="28"/>
              </w:rPr>
            </w:pPr>
          </w:p>
        </w:tc>
        <w:tc>
          <w:tcPr>
            <w:tcW w:w="1980" w:type="dxa"/>
          </w:tcPr>
          <w:p w14:paraId="1310FBFE" w14:textId="77777777" w:rsidR="002D7287" w:rsidRPr="002227F4" w:rsidRDefault="002D7287" w:rsidP="008A1AE6">
            <w:pPr>
              <w:rPr>
                <w:rFonts w:cs="Times New Roman"/>
                <w:b/>
                <w:sz w:val="28"/>
                <w:szCs w:val="28"/>
              </w:rPr>
            </w:pPr>
          </w:p>
        </w:tc>
      </w:tr>
      <w:tr w:rsidR="00193FCA" w:rsidRPr="002227F4" w14:paraId="37857843" w14:textId="0DA00350" w:rsidTr="000E798B">
        <w:tc>
          <w:tcPr>
            <w:tcW w:w="4410" w:type="dxa"/>
          </w:tcPr>
          <w:p w14:paraId="3B1F7B44" w14:textId="5EC5A91E" w:rsidR="002D7287" w:rsidRPr="002227F4" w:rsidRDefault="002D7287" w:rsidP="009B5B8E">
            <w:pPr>
              <w:rPr>
                <w:rFonts w:cs="Times New Roman"/>
                <w:sz w:val="20"/>
                <w:szCs w:val="20"/>
              </w:rPr>
            </w:pPr>
            <w:r w:rsidRPr="002227F4">
              <w:rPr>
                <w:rFonts w:cs="Times New Roman"/>
                <w:b/>
                <w:sz w:val="20"/>
                <w:szCs w:val="20"/>
              </w:rPr>
              <w:t xml:space="preserve">IV.7 </w:t>
            </w:r>
            <w:r w:rsidR="00BB179E" w:rsidRPr="002227F4">
              <w:rPr>
                <w:rFonts w:cs="Times New Roman"/>
                <w:sz w:val="20"/>
                <w:szCs w:val="20"/>
              </w:rPr>
              <w:t>The program has explicit, documented evidence of its ongoing decision-making processes and the data to substantiate the evaluation of student learning outcomes, using appropriate direct and indirect measures as well as individual student learning, using appropriate direct and indirect measures.</w:t>
            </w:r>
          </w:p>
        </w:tc>
        <w:tc>
          <w:tcPr>
            <w:tcW w:w="4230" w:type="dxa"/>
            <w:gridSpan w:val="2"/>
          </w:tcPr>
          <w:p w14:paraId="4CB0D919" w14:textId="77777777" w:rsidR="002D7287" w:rsidRPr="002227F4" w:rsidRDefault="002D7287" w:rsidP="009B5B8E">
            <w:pPr>
              <w:rPr>
                <w:rFonts w:cs="Times New Roman"/>
                <w:b/>
                <w:sz w:val="28"/>
                <w:szCs w:val="28"/>
              </w:rPr>
            </w:pPr>
          </w:p>
        </w:tc>
        <w:tc>
          <w:tcPr>
            <w:tcW w:w="3510" w:type="dxa"/>
          </w:tcPr>
          <w:p w14:paraId="0A2B5CD1" w14:textId="77777777" w:rsidR="002D7287" w:rsidRPr="002227F4" w:rsidRDefault="002D7287" w:rsidP="008A1AE6">
            <w:pPr>
              <w:rPr>
                <w:rFonts w:cs="Times New Roman"/>
                <w:b/>
                <w:sz w:val="28"/>
                <w:szCs w:val="28"/>
              </w:rPr>
            </w:pPr>
          </w:p>
        </w:tc>
        <w:tc>
          <w:tcPr>
            <w:tcW w:w="1980" w:type="dxa"/>
          </w:tcPr>
          <w:p w14:paraId="4EABC4D7" w14:textId="77777777" w:rsidR="002D7287" w:rsidRPr="002227F4" w:rsidRDefault="002D7287" w:rsidP="008A1AE6">
            <w:pPr>
              <w:rPr>
                <w:rFonts w:cs="Times New Roman"/>
                <w:b/>
                <w:sz w:val="28"/>
                <w:szCs w:val="28"/>
              </w:rPr>
            </w:pPr>
          </w:p>
        </w:tc>
      </w:tr>
      <w:tr w:rsidR="00193FCA" w:rsidRPr="002227F4" w14:paraId="1578A1C6" w14:textId="2EAB4F76" w:rsidTr="000E798B">
        <w:tc>
          <w:tcPr>
            <w:tcW w:w="4410" w:type="dxa"/>
          </w:tcPr>
          <w:p w14:paraId="39EBAD62" w14:textId="787AC7CF" w:rsidR="002D7287" w:rsidRPr="002227F4" w:rsidRDefault="002D7287" w:rsidP="009B5B8E">
            <w:pPr>
              <w:rPr>
                <w:rFonts w:cs="Times New Roman"/>
                <w:sz w:val="20"/>
                <w:szCs w:val="20"/>
              </w:rPr>
            </w:pPr>
            <w:r w:rsidRPr="002227F4">
              <w:rPr>
                <w:rFonts w:cs="Times New Roman"/>
                <w:b/>
                <w:sz w:val="20"/>
                <w:szCs w:val="20"/>
              </w:rPr>
              <w:t xml:space="preserve">IV.8 </w:t>
            </w:r>
            <w:r w:rsidR="00BB179E" w:rsidRPr="002227F4">
              <w:rPr>
                <w:rFonts w:cs="Times New Roman"/>
                <w:sz w:val="20"/>
                <w:szCs w:val="20"/>
              </w:rPr>
              <w:t>The program demonstrates how the results of the evaluation of student learning outcomes and individual student learning are systematically used to improve the program and to plan for the future.</w:t>
            </w:r>
          </w:p>
        </w:tc>
        <w:tc>
          <w:tcPr>
            <w:tcW w:w="4230" w:type="dxa"/>
            <w:gridSpan w:val="2"/>
          </w:tcPr>
          <w:p w14:paraId="126706B2" w14:textId="77777777" w:rsidR="002D7287" w:rsidRPr="002227F4" w:rsidRDefault="002D7287" w:rsidP="009B5B8E">
            <w:pPr>
              <w:rPr>
                <w:rFonts w:cs="Times New Roman"/>
                <w:b/>
                <w:sz w:val="28"/>
                <w:szCs w:val="28"/>
              </w:rPr>
            </w:pPr>
          </w:p>
        </w:tc>
        <w:tc>
          <w:tcPr>
            <w:tcW w:w="3510" w:type="dxa"/>
          </w:tcPr>
          <w:p w14:paraId="241D419F" w14:textId="77777777" w:rsidR="002D7287" w:rsidRPr="002227F4" w:rsidRDefault="002D7287" w:rsidP="00620E48">
            <w:pPr>
              <w:rPr>
                <w:rFonts w:cs="Times New Roman"/>
                <w:b/>
                <w:sz w:val="28"/>
                <w:szCs w:val="28"/>
              </w:rPr>
            </w:pPr>
          </w:p>
        </w:tc>
        <w:tc>
          <w:tcPr>
            <w:tcW w:w="1980" w:type="dxa"/>
          </w:tcPr>
          <w:p w14:paraId="7D143628" w14:textId="77777777" w:rsidR="002D7287" w:rsidRPr="002227F4" w:rsidRDefault="002D7287" w:rsidP="00620E48">
            <w:pPr>
              <w:rPr>
                <w:rFonts w:cs="Times New Roman"/>
                <w:b/>
                <w:sz w:val="28"/>
                <w:szCs w:val="28"/>
              </w:rPr>
            </w:pPr>
          </w:p>
        </w:tc>
      </w:tr>
      <w:tr w:rsidR="00205FCF" w:rsidRPr="002227F4" w14:paraId="6E997FBD" w14:textId="77777777" w:rsidTr="000E798B">
        <w:tc>
          <w:tcPr>
            <w:tcW w:w="14130" w:type="dxa"/>
            <w:gridSpan w:val="5"/>
          </w:tcPr>
          <w:p w14:paraId="18BE9978" w14:textId="4CEA06E4" w:rsidR="00205FCF" w:rsidRDefault="00205FCF" w:rsidP="009B5B8E">
            <w:pPr>
              <w:rPr>
                <w:rFonts w:cs="Times New Roman"/>
                <w:b/>
                <w:sz w:val="20"/>
                <w:szCs w:val="20"/>
              </w:rPr>
            </w:pPr>
            <w:r w:rsidRPr="002227F4">
              <w:rPr>
                <w:rFonts w:cs="Times New Roman"/>
                <w:b/>
                <w:sz w:val="20"/>
                <w:szCs w:val="20"/>
              </w:rPr>
              <w:t>Summary Standard IV</w:t>
            </w:r>
          </w:p>
          <w:p w14:paraId="6B30061C" w14:textId="77777777" w:rsidR="000A6AA4" w:rsidRDefault="000A6AA4" w:rsidP="009B5B8E">
            <w:pPr>
              <w:rPr>
                <w:rFonts w:cs="Times New Roman"/>
                <w:b/>
                <w:sz w:val="20"/>
                <w:szCs w:val="20"/>
              </w:rPr>
            </w:pPr>
          </w:p>
          <w:p w14:paraId="02264D33" w14:textId="77777777" w:rsidR="00172BE3" w:rsidRPr="002227F4" w:rsidRDefault="00172BE3" w:rsidP="009B5B8E">
            <w:pPr>
              <w:rPr>
                <w:rFonts w:cs="Times New Roman"/>
                <w:b/>
                <w:sz w:val="20"/>
                <w:szCs w:val="20"/>
              </w:rPr>
            </w:pPr>
          </w:p>
          <w:p w14:paraId="740B3FBF" w14:textId="77777777" w:rsidR="00205FCF" w:rsidRPr="002227F4" w:rsidRDefault="00205FCF" w:rsidP="00620E48">
            <w:pPr>
              <w:rPr>
                <w:rFonts w:cs="Times New Roman"/>
                <w:b/>
                <w:sz w:val="28"/>
                <w:szCs w:val="28"/>
              </w:rPr>
            </w:pPr>
          </w:p>
        </w:tc>
      </w:tr>
      <w:tr w:rsidR="00AF3B21" w:rsidRPr="002227F4" w14:paraId="280D40C4" w14:textId="0B6EAA00" w:rsidTr="000E798B">
        <w:tc>
          <w:tcPr>
            <w:tcW w:w="4410" w:type="dxa"/>
            <w:shd w:val="clear" w:color="auto" w:fill="BFBFBF" w:themeFill="background1" w:themeFillShade="BF"/>
          </w:tcPr>
          <w:p w14:paraId="0B963CD3" w14:textId="77777777" w:rsidR="00AF3B21" w:rsidRPr="002227F4" w:rsidRDefault="00AF3B21" w:rsidP="009B5B8E">
            <w:pPr>
              <w:rPr>
                <w:rFonts w:cs="Times New Roman"/>
                <w:b/>
                <w:sz w:val="24"/>
                <w:szCs w:val="24"/>
              </w:rPr>
            </w:pPr>
            <w:r w:rsidRPr="002227F4">
              <w:rPr>
                <w:rFonts w:cs="Times New Roman"/>
                <w:b/>
                <w:sz w:val="24"/>
                <w:szCs w:val="24"/>
              </w:rPr>
              <w:t>V Administration, Finance and Resources</w:t>
            </w:r>
          </w:p>
        </w:tc>
        <w:tc>
          <w:tcPr>
            <w:tcW w:w="4230" w:type="dxa"/>
            <w:gridSpan w:val="2"/>
            <w:shd w:val="clear" w:color="auto" w:fill="BFBFBF" w:themeFill="background1" w:themeFillShade="BF"/>
          </w:tcPr>
          <w:p w14:paraId="285A376E" w14:textId="012513E8" w:rsidR="00AF3B21" w:rsidRPr="002227F4" w:rsidRDefault="001F4AE4" w:rsidP="009B5B8E">
            <w:pPr>
              <w:rPr>
                <w:rFonts w:cs="Times New Roman"/>
                <w:b/>
                <w:sz w:val="24"/>
                <w:szCs w:val="24"/>
              </w:rPr>
            </w:pPr>
            <w:r w:rsidRPr="001F4AE4">
              <w:rPr>
                <w:b/>
                <w:sz w:val="20"/>
                <w:szCs w:val="20"/>
              </w:rPr>
              <w:t>Source/Assertion</w:t>
            </w:r>
          </w:p>
        </w:tc>
        <w:tc>
          <w:tcPr>
            <w:tcW w:w="3510" w:type="dxa"/>
            <w:shd w:val="clear" w:color="auto" w:fill="BFBFBF" w:themeFill="background1" w:themeFillShade="BF"/>
          </w:tcPr>
          <w:p w14:paraId="578D9BFE" w14:textId="5DE3A9E9" w:rsidR="00AF3B21" w:rsidRPr="002227F4" w:rsidRDefault="001F4AE4" w:rsidP="00620E48">
            <w:pPr>
              <w:rPr>
                <w:rFonts w:cs="Times New Roman"/>
                <w:b/>
                <w:sz w:val="24"/>
                <w:szCs w:val="24"/>
              </w:rPr>
            </w:pPr>
            <w:r w:rsidRPr="001F4AE4">
              <w:rPr>
                <w:b/>
                <w:sz w:val="20"/>
                <w:szCs w:val="20"/>
              </w:rPr>
              <w:t>Evidence verified</w:t>
            </w:r>
          </w:p>
        </w:tc>
        <w:tc>
          <w:tcPr>
            <w:tcW w:w="1980" w:type="dxa"/>
            <w:shd w:val="clear" w:color="auto" w:fill="BFBFBF" w:themeFill="background1" w:themeFillShade="BF"/>
          </w:tcPr>
          <w:p w14:paraId="2F7C7314" w14:textId="707620DD" w:rsidR="00AF3B21" w:rsidRPr="002227F4" w:rsidRDefault="005207C1" w:rsidP="0088067E">
            <w:pPr>
              <w:jc w:val="center"/>
              <w:rPr>
                <w:rFonts w:cs="Times New Roman"/>
                <w:b/>
                <w:sz w:val="24"/>
                <w:szCs w:val="24"/>
              </w:rPr>
            </w:pPr>
            <w:r w:rsidRPr="005207C1">
              <w:rPr>
                <w:b/>
                <w:sz w:val="20"/>
                <w:szCs w:val="20"/>
              </w:rPr>
              <w:t>Evidence supports compliance?</w:t>
            </w:r>
          </w:p>
        </w:tc>
      </w:tr>
      <w:tr w:rsidR="00193FCA" w:rsidRPr="002227F4" w14:paraId="00158904" w14:textId="54579F21" w:rsidTr="000E798B">
        <w:tc>
          <w:tcPr>
            <w:tcW w:w="4410" w:type="dxa"/>
          </w:tcPr>
          <w:p w14:paraId="36DAC1A4" w14:textId="092CFED5" w:rsidR="002D7287" w:rsidRPr="002227F4" w:rsidRDefault="002D7287" w:rsidP="009B5B8E">
            <w:pPr>
              <w:rPr>
                <w:rFonts w:cs="Times New Roman"/>
                <w:b/>
                <w:sz w:val="20"/>
                <w:szCs w:val="20"/>
              </w:rPr>
            </w:pPr>
            <w:r w:rsidRPr="002227F4">
              <w:rPr>
                <w:rFonts w:cs="Times New Roman"/>
                <w:b/>
                <w:sz w:val="20"/>
                <w:szCs w:val="20"/>
              </w:rPr>
              <w:t xml:space="preserve">V.1 </w:t>
            </w:r>
            <w:r w:rsidR="00BB179E" w:rsidRPr="002227F4">
              <w:rPr>
                <w:rFonts w:cs="Times New Roman"/>
                <w:sz w:val="20"/>
                <w:szCs w:val="20"/>
              </w:rPr>
              <w:t>The program is an integral yet distinctive academic unit within the institution. As such, it has the administrative infrastructure, financial support, and resources to ensure that its goals and objectives can be accomplished. Its autonomy is sufficient to assure that the intellectual content of its program, the selection and promotion of its faculty, and the selection of its students are determined by the program within the general guidelines of the institution. The parent institution provides both administrative support and the resources needed for the attainment of program objectives.</w:t>
            </w:r>
          </w:p>
        </w:tc>
        <w:tc>
          <w:tcPr>
            <w:tcW w:w="4230" w:type="dxa"/>
            <w:gridSpan w:val="2"/>
          </w:tcPr>
          <w:p w14:paraId="01438B05" w14:textId="77777777" w:rsidR="002D7287" w:rsidRPr="002227F4" w:rsidRDefault="002D7287" w:rsidP="009B5B8E">
            <w:pPr>
              <w:rPr>
                <w:rFonts w:cs="Times New Roman"/>
                <w:b/>
                <w:sz w:val="28"/>
                <w:szCs w:val="28"/>
              </w:rPr>
            </w:pPr>
          </w:p>
          <w:p w14:paraId="1738FB83" w14:textId="77777777" w:rsidR="002D7287" w:rsidRPr="002227F4" w:rsidRDefault="002D7287" w:rsidP="009B5B8E">
            <w:pPr>
              <w:rPr>
                <w:rFonts w:cs="Times New Roman"/>
                <w:b/>
                <w:sz w:val="28"/>
                <w:szCs w:val="28"/>
              </w:rPr>
            </w:pPr>
          </w:p>
        </w:tc>
        <w:tc>
          <w:tcPr>
            <w:tcW w:w="3510" w:type="dxa"/>
          </w:tcPr>
          <w:p w14:paraId="7CC11E7C" w14:textId="77777777" w:rsidR="002D7287" w:rsidRPr="002227F4" w:rsidRDefault="002D7287" w:rsidP="006662A5">
            <w:pPr>
              <w:rPr>
                <w:rFonts w:cs="Times New Roman"/>
                <w:b/>
                <w:sz w:val="28"/>
                <w:szCs w:val="28"/>
              </w:rPr>
            </w:pPr>
          </w:p>
        </w:tc>
        <w:tc>
          <w:tcPr>
            <w:tcW w:w="1980" w:type="dxa"/>
          </w:tcPr>
          <w:p w14:paraId="40809F29" w14:textId="77777777" w:rsidR="002D7287" w:rsidRPr="002227F4" w:rsidRDefault="002D7287" w:rsidP="006662A5">
            <w:pPr>
              <w:rPr>
                <w:rFonts w:cs="Times New Roman"/>
                <w:b/>
                <w:sz w:val="28"/>
                <w:szCs w:val="28"/>
              </w:rPr>
            </w:pPr>
          </w:p>
        </w:tc>
      </w:tr>
      <w:tr w:rsidR="00193FCA" w:rsidRPr="002227F4" w14:paraId="5C61B818" w14:textId="2166D07F" w:rsidTr="000E798B">
        <w:tc>
          <w:tcPr>
            <w:tcW w:w="4410" w:type="dxa"/>
          </w:tcPr>
          <w:p w14:paraId="1F7A75D3" w14:textId="17ED1C03" w:rsidR="002D7287" w:rsidRPr="002227F4" w:rsidRDefault="002D7287" w:rsidP="009B5B8E">
            <w:pPr>
              <w:rPr>
                <w:rFonts w:cs="Times New Roman"/>
                <w:b/>
                <w:sz w:val="20"/>
                <w:szCs w:val="20"/>
              </w:rPr>
            </w:pPr>
            <w:r w:rsidRPr="002227F4">
              <w:rPr>
                <w:rFonts w:cs="Times New Roman"/>
                <w:b/>
                <w:sz w:val="20"/>
                <w:szCs w:val="20"/>
              </w:rPr>
              <w:t xml:space="preserve">V.2 </w:t>
            </w:r>
            <w:r w:rsidR="00BB179E" w:rsidRPr="002227F4">
              <w:rPr>
                <w:rFonts w:cs="Times New Roman"/>
                <w:sz w:val="20"/>
                <w:szCs w:val="20"/>
              </w:rPr>
              <w:t xml:space="preserve">The program’s faculty, staff, and students have the same opportunities for representation on the </w:t>
            </w:r>
            <w:r w:rsidR="00BB179E" w:rsidRPr="002227F4">
              <w:rPr>
                <w:rFonts w:cs="Times New Roman"/>
                <w:sz w:val="20"/>
                <w:szCs w:val="20"/>
              </w:rPr>
              <w:lastRenderedPageBreak/>
              <w:t>institution's advisory or policy-making bodies as do those of comparable units throughout the institution. Administrative relationships with other academic units enhance the intellectual environment and support interdisciplinary interaction; further, these administrative relationships encourage participation in the life of the parent institution. Decisions regarding funding and resource allocation for the program are made on the same basis as for comparable academic units within the institution.</w:t>
            </w:r>
          </w:p>
        </w:tc>
        <w:tc>
          <w:tcPr>
            <w:tcW w:w="4230" w:type="dxa"/>
            <w:gridSpan w:val="2"/>
          </w:tcPr>
          <w:p w14:paraId="3806D23B" w14:textId="77777777" w:rsidR="002D7287" w:rsidRPr="002227F4" w:rsidRDefault="002D7287" w:rsidP="009B5B8E">
            <w:pPr>
              <w:rPr>
                <w:rFonts w:cs="Times New Roman"/>
                <w:b/>
                <w:sz w:val="28"/>
                <w:szCs w:val="28"/>
              </w:rPr>
            </w:pPr>
          </w:p>
          <w:p w14:paraId="78BBEC35" w14:textId="77777777" w:rsidR="002D7287" w:rsidRPr="002227F4" w:rsidRDefault="002D7287" w:rsidP="009B5B8E">
            <w:pPr>
              <w:rPr>
                <w:rFonts w:cs="Times New Roman"/>
                <w:b/>
                <w:sz w:val="28"/>
                <w:szCs w:val="28"/>
              </w:rPr>
            </w:pPr>
          </w:p>
        </w:tc>
        <w:tc>
          <w:tcPr>
            <w:tcW w:w="3510" w:type="dxa"/>
          </w:tcPr>
          <w:p w14:paraId="0D60246A" w14:textId="77777777" w:rsidR="002D7287" w:rsidRPr="002227F4" w:rsidRDefault="002D7287" w:rsidP="00620E48">
            <w:pPr>
              <w:rPr>
                <w:rFonts w:cs="Times New Roman"/>
                <w:b/>
                <w:sz w:val="28"/>
                <w:szCs w:val="28"/>
              </w:rPr>
            </w:pPr>
          </w:p>
        </w:tc>
        <w:tc>
          <w:tcPr>
            <w:tcW w:w="1980" w:type="dxa"/>
          </w:tcPr>
          <w:p w14:paraId="0059617F" w14:textId="77777777" w:rsidR="002D7287" w:rsidRPr="002227F4" w:rsidRDefault="002D7287" w:rsidP="00620E48">
            <w:pPr>
              <w:rPr>
                <w:rFonts w:cs="Times New Roman"/>
                <w:b/>
                <w:sz w:val="28"/>
                <w:szCs w:val="28"/>
              </w:rPr>
            </w:pPr>
          </w:p>
        </w:tc>
      </w:tr>
      <w:tr w:rsidR="00193FCA" w:rsidRPr="002227F4" w14:paraId="6A80C4D1" w14:textId="7FFDF1F1" w:rsidTr="000E798B">
        <w:tc>
          <w:tcPr>
            <w:tcW w:w="4410" w:type="dxa"/>
          </w:tcPr>
          <w:p w14:paraId="2BE060E3" w14:textId="3D4ABC47" w:rsidR="002D7287" w:rsidRPr="002227F4" w:rsidRDefault="002D7287" w:rsidP="009B5B8E">
            <w:pPr>
              <w:rPr>
                <w:rFonts w:cs="Times New Roman"/>
                <w:b/>
                <w:sz w:val="20"/>
                <w:szCs w:val="20"/>
              </w:rPr>
            </w:pPr>
            <w:r w:rsidRPr="002227F4">
              <w:rPr>
                <w:rFonts w:cs="Times New Roman"/>
                <w:b/>
                <w:sz w:val="20"/>
                <w:szCs w:val="20"/>
              </w:rPr>
              <w:t xml:space="preserve">V.3 </w:t>
            </w:r>
            <w:r w:rsidR="00003F4D" w:rsidRPr="00003F4D">
              <w:rPr>
                <w:rFonts w:cs="Times New Roman"/>
                <w:sz w:val="20"/>
                <w:szCs w:val="20"/>
              </w:rPr>
              <w:t>The administrative head of the program has authority to ensure that students are supported in their academic program of study. In addition to academic qualifications comparable to those required of the faculty, the administrative head has leadership skills, administrative ability, experience, and understanding of developments in the field and in the academic environment needed to fulfill the responsibilities of the position.</w:t>
            </w:r>
            <w:bookmarkStart w:id="0" w:name="_GoBack"/>
            <w:bookmarkEnd w:id="0"/>
          </w:p>
        </w:tc>
        <w:tc>
          <w:tcPr>
            <w:tcW w:w="4230" w:type="dxa"/>
            <w:gridSpan w:val="2"/>
          </w:tcPr>
          <w:p w14:paraId="59F1BB15" w14:textId="77777777" w:rsidR="002D7287" w:rsidRPr="002227F4" w:rsidRDefault="002D7287" w:rsidP="009B5B8E">
            <w:pPr>
              <w:rPr>
                <w:rFonts w:cs="Times New Roman"/>
                <w:b/>
                <w:sz w:val="28"/>
                <w:szCs w:val="28"/>
              </w:rPr>
            </w:pPr>
          </w:p>
          <w:p w14:paraId="29A2ED92" w14:textId="77777777" w:rsidR="002D7287" w:rsidRPr="002227F4" w:rsidRDefault="002D7287" w:rsidP="009B5B8E">
            <w:pPr>
              <w:rPr>
                <w:rFonts w:cs="Times New Roman"/>
                <w:b/>
                <w:sz w:val="28"/>
                <w:szCs w:val="28"/>
              </w:rPr>
            </w:pPr>
          </w:p>
        </w:tc>
        <w:tc>
          <w:tcPr>
            <w:tcW w:w="3510" w:type="dxa"/>
          </w:tcPr>
          <w:p w14:paraId="0C88FA47" w14:textId="77777777" w:rsidR="002D7287" w:rsidRPr="002227F4" w:rsidRDefault="002D7287" w:rsidP="00620E48">
            <w:pPr>
              <w:rPr>
                <w:rFonts w:cs="Times New Roman"/>
                <w:b/>
                <w:sz w:val="28"/>
                <w:szCs w:val="28"/>
              </w:rPr>
            </w:pPr>
          </w:p>
        </w:tc>
        <w:tc>
          <w:tcPr>
            <w:tcW w:w="1980" w:type="dxa"/>
          </w:tcPr>
          <w:p w14:paraId="4C379C38" w14:textId="77777777" w:rsidR="002D7287" w:rsidRPr="002227F4" w:rsidRDefault="002D7287" w:rsidP="00620E48">
            <w:pPr>
              <w:rPr>
                <w:rFonts w:cs="Times New Roman"/>
                <w:b/>
                <w:sz w:val="28"/>
                <w:szCs w:val="28"/>
              </w:rPr>
            </w:pPr>
          </w:p>
        </w:tc>
      </w:tr>
      <w:tr w:rsidR="00193FCA" w:rsidRPr="002227F4" w14:paraId="3917B74C" w14:textId="0C70E757" w:rsidTr="000E798B">
        <w:tc>
          <w:tcPr>
            <w:tcW w:w="4410" w:type="dxa"/>
          </w:tcPr>
          <w:p w14:paraId="690B6A67" w14:textId="66F6D519" w:rsidR="002D7287" w:rsidRPr="002227F4" w:rsidRDefault="002D7287" w:rsidP="009B5B8E">
            <w:pPr>
              <w:rPr>
                <w:rFonts w:cs="Times New Roman"/>
                <w:b/>
                <w:sz w:val="20"/>
                <w:szCs w:val="20"/>
              </w:rPr>
            </w:pPr>
            <w:r w:rsidRPr="002227F4">
              <w:rPr>
                <w:rFonts w:cs="Times New Roman"/>
                <w:b/>
                <w:sz w:val="20"/>
                <w:szCs w:val="20"/>
              </w:rPr>
              <w:t xml:space="preserve">V.4 </w:t>
            </w:r>
            <w:r w:rsidR="00BB179E" w:rsidRPr="002227F4">
              <w:rPr>
                <w:rFonts w:cs="Times New Roman"/>
                <w:sz w:val="20"/>
                <w:szCs w:val="20"/>
              </w:rPr>
              <w:t>The program’s administrative head nurtures an environment that enhances the pursuit of the mission and program goals and the accomplishment of its program objectives; that environment also encourages faculty and student interaction with other academic units and promotes the socialization of students into the field.</w:t>
            </w:r>
          </w:p>
        </w:tc>
        <w:tc>
          <w:tcPr>
            <w:tcW w:w="4230" w:type="dxa"/>
            <w:gridSpan w:val="2"/>
          </w:tcPr>
          <w:p w14:paraId="75FDE182" w14:textId="77777777" w:rsidR="002D7287" w:rsidRPr="002227F4" w:rsidRDefault="002D7287" w:rsidP="009B5B8E">
            <w:pPr>
              <w:rPr>
                <w:rFonts w:cs="Times New Roman"/>
                <w:b/>
                <w:sz w:val="28"/>
                <w:szCs w:val="28"/>
              </w:rPr>
            </w:pPr>
          </w:p>
          <w:p w14:paraId="27C12E3E" w14:textId="77777777" w:rsidR="002D7287" w:rsidRPr="002227F4" w:rsidRDefault="002D7287" w:rsidP="009B5B8E">
            <w:pPr>
              <w:rPr>
                <w:rFonts w:cs="Times New Roman"/>
                <w:b/>
                <w:sz w:val="28"/>
                <w:szCs w:val="28"/>
              </w:rPr>
            </w:pPr>
          </w:p>
        </w:tc>
        <w:tc>
          <w:tcPr>
            <w:tcW w:w="3510" w:type="dxa"/>
          </w:tcPr>
          <w:p w14:paraId="6A37CF9A" w14:textId="77777777" w:rsidR="002D7287" w:rsidRPr="002227F4" w:rsidRDefault="002D7287" w:rsidP="00620E48">
            <w:pPr>
              <w:rPr>
                <w:rFonts w:cs="Times New Roman"/>
                <w:b/>
                <w:sz w:val="28"/>
                <w:szCs w:val="28"/>
              </w:rPr>
            </w:pPr>
          </w:p>
        </w:tc>
        <w:tc>
          <w:tcPr>
            <w:tcW w:w="1980" w:type="dxa"/>
          </w:tcPr>
          <w:p w14:paraId="6267A3A9" w14:textId="77777777" w:rsidR="002D7287" w:rsidRPr="002227F4" w:rsidRDefault="002D7287" w:rsidP="00620E48">
            <w:pPr>
              <w:rPr>
                <w:rFonts w:cs="Times New Roman"/>
                <w:b/>
                <w:sz w:val="28"/>
                <w:szCs w:val="28"/>
              </w:rPr>
            </w:pPr>
          </w:p>
        </w:tc>
      </w:tr>
      <w:tr w:rsidR="00193FCA" w:rsidRPr="002227F4" w14:paraId="69BF46EE" w14:textId="3CFE66EE" w:rsidTr="000E798B">
        <w:tc>
          <w:tcPr>
            <w:tcW w:w="4410" w:type="dxa"/>
          </w:tcPr>
          <w:p w14:paraId="5DDFAFFB" w14:textId="575E8575" w:rsidR="002D7287" w:rsidRPr="002227F4" w:rsidRDefault="002D7287" w:rsidP="00E061BA">
            <w:pPr>
              <w:rPr>
                <w:rFonts w:cs="Times New Roman"/>
                <w:sz w:val="20"/>
                <w:szCs w:val="20"/>
              </w:rPr>
            </w:pPr>
            <w:r w:rsidRPr="002227F4">
              <w:rPr>
                <w:rFonts w:cs="Times New Roman"/>
                <w:b/>
                <w:sz w:val="20"/>
                <w:szCs w:val="20"/>
              </w:rPr>
              <w:t xml:space="preserve">V.5 </w:t>
            </w:r>
            <w:r w:rsidR="00BB179E" w:rsidRPr="002227F4">
              <w:rPr>
                <w:rFonts w:cs="Times New Roman"/>
                <w:sz w:val="20"/>
                <w:szCs w:val="20"/>
              </w:rPr>
              <w:t>The program’s administrative and other staff support the administrative head and faculty in the performance of their responsibilities. The staff contributes to the fulfillment of the program’s mission, goals, and objectives. Within its institutional framework, decision-making processes are determined mutually by the administrative head and the faculty, who regularly evaluate these processes and use the results.</w:t>
            </w:r>
          </w:p>
        </w:tc>
        <w:tc>
          <w:tcPr>
            <w:tcW w:w="4230" w:type="dxa"/>
            <w:gridSpan w:val="2"/>
          </w:tcPr>
          <w:p w14:paraId="65618885" w14:textId="77777777" w:rsidR="002D7287" w:rsidRPr="002227F4" w:rsidRDefault="002D7287" w:rsidP="009B5B8E">
            <w:pPr>
              <w:rPr>
                <w:rFonts w:cs="Times New Roman"/>
                <w:b/>
                <w:sz w:val="28"/>
                <w:szCs w:val="28"/>
              </w:rPr>
            </w:pPr>
          </w:p>
        </w:tc>
        <w:tc>
          <w:tcPr>
            <w:tcW w:w="3510" w:type="dxa"/>
          </w:tcPr>
          <w:p w14:paraId="5C90D110" w14:textId="77777777" w:rsidR="002D7287" w:rsidRPr="002227F4" w:rsidRDefault="002D7287" w:rsidP="00620E48">
            <w:pPr>
              <w:rPr>
                <w:rFonts w:cs="Times New Roman"/>
                <w:b/>
                <w:sz w:val="28"/>
                <w:szCs w:val="28"/>
              </w:rPr>
            </w:pPr>
          </w:p>
        </w:tc>
        <w:tc>
          <w:tcPr>
            <w:tcW w:w="1980" w:type="dxa"/>
          </w:tcPr>
          <w:p w14:paraId="06BF9ED1" w14:textId="77777777" w:rsidR="002D7287" w:rsidRPr="002227F4" w:rsidRDefault="002D7287" w:rsidP="00620E48">
            <w:pPr>
              <w:rPr>
                <w:rFonts w:cs="Times New Roman"/>
                <w:b/>
                <w:sz w:val="28"/>
                <w:szCs w:val="28"/>
              </w:rPr>
            </w:pPr>
          </w:p>
        </w:tc>
      </w:tr>
      <w:tr w:rsidR="00193FCA" w:rsidRPr="002227F4" w14:paraId="19CA7788" w14:textId="003C700D" w:rsidTr="000E798B">
        <w:tc>
          <w:tcPr>
            <w:tcW w:w="4410" w:type="dxa"/>
          </w:tcPr>
          <w:p w14:paraId="6A1118E3" w14:textId="42AE5CE3" w:rsidR="002D7287" w:rsidRPr="002227F4" w:rsidRDefault="002D7287" w:rsidP="009B5B8E">
            <w:pPr>
              <w:rPr>
                <w:rFonts w:cs="Times New Roman"/>
                <w:b/>
                <w:sz w:val="20"/>
                <w:szCs w:val="20"/>
              </w:rPr>
            </w:pPr>
            <w:r w:rsidRPr="002227F4">
              <w:rPr>
                <w:rFonts w:cs="Times New Roman"/>
                <w:b/>
                <w:sz w:val="20"/>
                <w:szCs w:val="20"/>
              </w:rPr>
              <w:t xml:space="preserve">V.6 </w:t>
            </w:r>
            <w:r w:rsidR="00BB179E" w:rsidRPr="002227F4">
              <w:rPr>
                <w:rFonts w:cs="Times New Roman"/>
                <w:sz w:val="20"/>
                <w:szCs w:val="20"/>
              </w:rPr>
              <w:t xml:space="preserve">The parent institution provides continuing financial support for development, maintenance, and enhancement of library and information studies education in accordance with the general </w:t>
            </w:r>
            <w:r w:rsidR="00BB179E" w:rsidRPr="002227F4">
              <w:rPr>
                <w:rFonts w:cs="Times New Roman"/>
                <w:sz w:val="20"/>
                <w:szCs w:val="20"/>
              </w:rPr>
              <w:lastRenderedPageBreak/>
              <w:t>principles set forth in these Standards. The level of support provides a reasonable expectation of financial viability and is related to the number of faculty, administrative and support staff, instructional resources, and facilities needed to carry out the program’s teaching, research, and service.</w:t>
            </w:r>
          </w:p>
        </w:tc>
        <w:tc>
          <w:tcPr>
            <w:tcW w:w="4230" w:type="dxa"/>
            <w:gridSpan w:val="2"/>
          </w:tcPr>
          <w:p w14:paraId="2CF4A30B" w14:textId="77777777" w:rsidR="002D7287" w:rsidRPr="002227F4" w:rsidRDefault="002D7287" w:rsidP="009B5B8E">
            <w:pPr>
              <w:rPr>
                <w:rFonts w:cs="Times New Roman"/>
                <w:b/>
                <w:sz w:val="28"/>
                <w:szCs w:val="28"/>
              </w:rPr>
            </w:pPr>
          </w:p>
          <w:p w14:paraId="401FAA06" w14:textId="77777777" w:rsidR="002D7287" w:rsidRPr="002227F4" w:rsidRDefault="002D7287" w:rsidP="009B5B8E">
            <w:pPr>
              <w:rPr>
                <w:rFonts w:cs="Times New Roman"/>
                <w:b/>
                <w:sz w:val="28"/>
                <w:szCs w:val="28"/>
              </w:rPr>
            </w:pPr>
          </w:p>
        </w:tc>
        <w:tc>
          <w:tcPr>
            <w:tcW w:w="3510" w:type="dxa"/>
          </w:tcPr>
          <w:p w14:paraId="3AD9CB07" w14:textId="77777777" w:rsidR="002D7287" w:rsidRPr="002227F4" w:rsidRDefault="002D7287" w:rsidP="00620E48">
            <w:pPr>
              <w:rPr>
                <w:rFonts w:cs="Times New Roman"/>
                <w:b/>
                <w:sz w:val="28"/>
                <w:szCs w:val="28"/>
              </w:rPr>
            </w:pPr>
          </w:p>
        </w:tc>
        <w:tc>
          <w:tcPr>
            <w:tcW w:w="1980" w:type="dxa"/>
          </w:tcPr>
          <w:p w14:paraId="29A35813" w14:textId="77777777" w:rsidR="002D7287" w:rsidRPr="002227F4" w:rsidRDefault="002D7287" w:rsidP="00620E48">
            <w:pPr>
              <w:rPr>
                <w:rFonts w:cs="Times New Roman"/>
                <w:b/>
                <w:sz w:val="28"/>
                <w:szCs w:val="28"/>
              </w:rPr>
            </w:pPr>
          </w:p>
        </w:tc>
      </w:tr>
      <w:tr w:rsidR="00193FCA" w:rsidRPr="002227F4" w14:paraId="4422B01F" w14:textId="7A7690F7" w:rsidTr="000E798B">
        <w:tc>
          <w:tcPr>
            <w:tcW w:w="4410" w:type="dxa"/>
          </w:tcPr>
          <w:p w14:paraId="07585D99" w14:textId="58730927" w:rsidR="002D7287" w:rsidRPr="002227F4" w:rsidRDefault="002D7287" w:rsidP="009B5B8E">
            <w:pPr>
              <w:rPr>
                <w:rFonts w:cs="Times New Roman"/>
                <w:sz w:val="20"/>
                <w:szCs w:val="20"/>
              </w:rPr>
            </w:pPr>
            <w:r w:rsidRPr="002227F4">
              <w:rPr>
                <w:rFonts w:cs="Times New Roman"/>
                <w:b/>
                <w:sz w:val="20"/>
                <w:szCs w:val="20"/>
              </w:rPr>
              <w:t xml:space="preserve">V.7 </w:t>
            </w:r>
            <w:r w:rsidR="00BB179E" w:rsidRPr="002227F4">
              <w:rPr>
                <w:rFonts w:cs="Times New Roman"/>
                <w:sz w:val="20"/>
                <w:szCs w:val="20"/>
              </w:rPr>
              <w:t>Compensation for a program's faculty, and other staff is equitably established according to their education, experience, responsibilities, and accomplishments and is sufficient to attract, support, and retain personnel needed to attain program goals and objectives.</w:t>
            </w:r>
          </w:p>
        </w:tc>
        <w:tc>
          <w:tcPr>
            <w:tcW w:w="4230" w:type="dxa"/>
            <w:gridSpan w:val="2"/>
          </w:tcPr>
          <w:p w14:paraId="2518D150" w14:textId="77777777" w:rsidR="002D7287" w:rsidRPr="002227F4" w:rsidRDefault="002D7287" w:rsidP="009B5B8E">
            <w:pPr>
              <w:rPr>
                <w:rFonts w:cs="Times New Roman"/>
                <w:b/>
                <w:sz w:val="28"/>
                <w:szCs w:val="28"/>
              </w:rPr>
            </w:pPr>
          </w:p>
        </w:tc>
        <w:tc>
          <w:tcPr>
            <w:tcW w:w="3510" w:type="dxa"/>
          </w:tcPr>
          <w:p w14:paraId="75A12175" w14:textId="77777777" w:rsidR="002D7287" w:rsidRPr="002227F4" w:rsidRDefault="002D7287" w:rsidP="00620E48">
            <w:pPr>
              <w:rPr>
                <w:rFonts w:cs="Times New Roman"/>
                <w:b/>
                <w:sz w:val="28"/>
                <w:szCs w:val="28"/>
              </w:rPr>
            </w:pPr>
          </w:p>
        </w:tc>
        <w:tc>
          <w:tcPr>
            <w:tcW w:w="1980" w:type="dxa"/>
          </w:tcPr>
          <w:p w14:paraId="31A44792" w14:textId="77777777" w:rsidR="002D7287" w:rsidRPr="002227F4" w:rsidRDefault="002D7287" w:rsidP="00620E48">
            <w:pPr>
              <w:rPr>
                <w:rFonts w:cs="Times New Roman"/>
                <w:b/>
                <w:sz w:val="28"/>
                <w:szCs w:val="28"/>
              </w:rPr>
            </w:pPr>
          </w:p>
        </w:tc>
      </w:tr>
      <w:tr w:rsidR="00193FCA" w:rsidRPr="002227F4" w14:paraId="011F6CA9" w14:textId="065A7EFD" w:rsidTr="000E798B">
        <w:tc>
          <w:tcPr>
            <w:tcW w:w="4410" w:type="dxa"/>
          </w:tcPr>
          <w:p w14:paraId="219A9747" w14:textId="09623BCD" w:rsidR="002D7287" w:rsidRPr="002227F4" w:rsidRDefault="002D7287" w:rsidP="005D00A4">
            <w:pPr>
              <w:rPr>
                <w:rFonts w:cs="Times New Roman"/>
                <w:sz w:val="20"/>
                <w:szCs w:val="20"/>
              </w:rPr>
            </w:pPr>
            <w:r w:rsidRPr="002227F4">
              <w:rPr>
                <w:rFonts w:cs="Times New Roman"/>
                <w:b/>
                <w:sz w:val="20"/>
                <w:szCs w:val="20"/>
              </w:rPr>
              <w:t xml:space="preserve">V.8 </w:t>
            </w:r>
            <w:r w:rsidR="00BB179E" w:rsidRPr="002227F4">
              <w:rPr>
                <w:rFonts w:cs="Times New Roman"/>
                <w:sz w:val="20"/>
                <w:szCs w:val="20"/>
              </w:rPr>
              <w:t>Institutional funds for research projects, professional development, travel, and leaves with pay are available on the same basis as in comparable units of the institution. Student financial aid from the parent institution is available on the same basis as in comparable units of the institution.</w:t>
            </w:r>
          </w:p>
        </w:tc>
        <w:tc>
          <w:tcPr>
            <w:tcW w:w="4230" w:type="dxa"/>
            <w:gridSpan w:val="2"/>
          </w:tcPr>
          <w:p w14:paraId="42AA4BE5" w14:textId="77777777" w:rsidR="002D7287" w:rsidRPr="002227F4" w:rsidRDefault="002D7287" w:rsidP="009B5B8E">
            <w:pPr>
              <w:rPr>
                <w:rFonts w:cs="Times New Roman"/>
                <w:b/>
                <w:sz w:val="28"/>
                <w:szCs w:val="28"/>
              </w:rPr>
            </w:pPr>
          </w:p>
          <w:p w14:paraId="1A2E6683" w14:textId="77777777" w:rsidR="002D7287" w:rsidRPr="002227F4" w:rsidRDefault="002D7287" w:rsidP="009B5B8E">
            <w:pPr>
              <w:rPr>
                <w:rFonts w:cs="Times New Roman"/>
                <w:b/>
                <w:sz w:val="28"/>
                <w:szCs w:val="28"/>
              </w:rPr>
            </w:pPr>
          </w:p>
        </w:tc>
        <w:tc>
          <w:tcPr>
            <w:tcW w:w="3510" w:type="dxa"/>
          </w:tcPr>
          <w:p w14:paraId="6D71C0F2" w14:textId="77777777" w:rsidR="002D7287" w:rsidRPr="002227F4" w:rsidRDefault="002D7287" w:rsidP="006662A5">
            <w:pPr>
              <w:rPr>
                <w:rFonts w:cs="Times New Roman"/>
                <w:b/>
                <w:sz w:val="28"/>
                <w:szCs w:val="28"/>
              </w:rPr>
            </w:pPr>
          </w:p>
        </w:tc>
        <w:tc>
          <w:tcPr>
            <w:tcW w:w="1980" w:type="dxa"/>
          </w:tcPr>
          <w:p w14:paraId="58C6664F" w14:textId="77777777" w:rsidR="002D7287" w:rsidRPr="002227F4" w:rsidRDefault="002D7287" w:rsidP="006662A5">
            <w:pPr>
              <w:rPr>
                <w:rFonts w:cs="Times New Roman"/>
                <w:b/>
                <w:sz w:val="28"/>
                <w:szCs w:val="28"/>
              </w:rPr>
            </w:pPr>
          </w:p>
        </w:tc>
      </w:tr>
      <w:tr w:rsidR="00193FCA" w:rsidRPr="002227F4" w14:paraId="0094F1EC" w14:textId="4E4FB998" w:rsidTr="000E798B">
        <w:tc>
          <w:tcPr>
            <w:tcW w:w="4410" w:type="dxa"/>
          </w:tcPr>
          <w:p w14:paraId="2D98444C" w14:textId="39D15BF6" w:rsidR="002D7287" w:rsidRPr="002227F4" w:rsidRDefault="002D7287" w:rsidP="009B5B8E">
            <w:pPr>
              <w:rPr>
                <w:rFonts w:cs="Times New Roman"/>
                <w:sz w:val="20"/>
                <w:szCs w:val="20"/>
              </w:rPr>
            </w:pPr>
            <w:r w:rsidRPr="002227F4">
              <w:rPr>
                <w:rFonts w:cs="Times New Roman"/>
                <w:b/>
                <w:sz w:val="20"/>
                <w:szCs w:val="20"/>
              </w:rPr>
              <w:t xml:space="preserve">V.9 </w:t>
            </w:r>
            <w:r w:rsidR="00BB179E" w:rsidRPr="002227F4">
              <w:rPr>
                <w:rFonts w:cs="Times New Roman"/>
                <w:sz w:val="20"/>
                <w:szCs w:val="20"/>
              </w:rPr>
              <w:t xml:space="preserve">A program has access to physical and technological resources that allow it to accomplish its objectives in the areas of teaching, research and service. The program provides support services for teaching and learning regardless of instructional delivery modality.   </w:t>
            </w:r>
          </w:p>
        </w:tc>
        <w:tc>
          <w:tcPr>
            <w:tcW w:w="4230" w:type="dxa"/>
            <w:gridSpan w:val="2"/>
          </w:tcPr>
          <w:p w14:paraId="4580D43A" w14:textId="77777777" w:rsidR="002D7287" w:rsidRPr="002227F4" w:rsidRDefault="002D7287" w:rsidP="009B5B8E">
            <w:pPr>
              <w:rPr>
                <w:rFonts w:cs="Times New Roman"/>
                <w:b/>
                <w:sz w:val="28"/>
                <w:szCs w:val="28"/>
              </w:rPr>
            </w:pPr>
          </w:p>
          <w:p w14:paraId="7A5A9862" w14:textId="77777777" w:rsidR="002D7287" w:rsidRPr="002227F4" w:rsidRDefault="002D7287" w:rsidP="009B5B8E">
            <w:pPr>
              <w:rPr>
                <w:rFonts w:cs="Times New Roman"/>
                <w:b/>
                <w:sz w:val="28"/>
                <w:szCs w:val="28"/>
              </w:rPr>
            </w:pPr>
          </w:p>
        </w:tc>
        <w:tc>
          <w:tcPr>
            <w:tcW w:w="3510" w:type="dxa"/>
          </w:tcPr>
          <w:p w14:paraId="746F6C9B" w14:textId="77777777" w:rsidR="002D7287" w:rsidRPr="002227F4" w:rsidRDefault="002D7287" w:rsidP="006662A5">
            <w:pPr>
              <w:rPr>
                <w:rFonts w:cs="Times New Roman"/>
                <w:b/>
                <w:sz w:val="28"/>
                <w:szCs w:val="28"/>
              </w:rPr>
            </w:pPr>
          </w:p>
        </w:tc>
        <w:tc>
          <w:tcPr>
            <w:tcW w:w="1980" w:type="dxa"/>
          </w:tcPr>
          <w:p w14:paraId="638FCE57" w14:textId="77777777" w:rsidR="002D7287" w:rsidRPr="002227F4" w:rsidRDefault="002D7287" w:rsidP="006662A5">
            <w:pPr>
              <w:rPr>
                <w:rFonts w:cs="Times New Roman"/>
                <w:b/>
                <w:sz w:val="28"/>
                <w:szCs w:val="28"/>
              </w:rPr>
            </w:pPr>
          </w:p>
        </w:tc>
      </w:tr>
      <w:tr w:rsidR="00193FCA" w:rsidRPr="002227F4" w14:paraId="3B0E4F2F" w14:textId="1EEBBC72" w:rsidTr="000E798B">
        <w:tc>
          <w:tcPr>
            <w:tcW w:w="4410" w:type="dxa"/>
          </w:tcPr>
          <w:p w14:paraId="6D11AA32" w14:textId="3EDC9A5D" w:rsidR="002D7287" w:rsidRPr="002227F4" w:rsidRDefault="002D7287" w:rsidP="009B5B8E">
            <w:pPr>
              <w:rPr>
                <w:rFonts w:cs="Times New Roman"/>
                <w:b/>
                <w:sz w:val="20"/>
                <w:szCs w:val="20"/>
              </w:rPr>
            </w:pPr>
            <w:r w:rsidRPr="002227F4">
              <w:rPr>
                <w:rFonts w:cs="Times New Roman"/>
                <w:b/>
                <w:sz w:val="20"/>
                <w:szCs w:val="20"/>
              </w:rPr>
              <w:t xml:space="preserve">V.10 </w:t>
            </w:r>
            <w:r w:rsidR="00BB179E" w:rsidRPr="002227F4">
              <w:rPr>
                <w:rFonts w:cs="Times New Roman"/>
                <w:sz w:val="20"/>
                <w:szCs w:val="20"/>
              </w:rPr>
              <w:t>Physical facilities provide a functional learning environment for students and faculty; enhance the opportunities for research, teaching, service, consultation, and communication; and promote efficient and effective administration of the program.</w:t>
            </w:r>
          </w:p>
        </w:tc>
        <w:tc>
          <w:tcPr>
            <w:tcW w:w="4230" w:type="dxa"/>
            <w:gridSpan w:val="2"/>
          </w:tcPr>
          <w:p w14:paraId="59BB3A99" w14:textId="77777777" w:rsidR="002D7287" w:rsidRPr="002227F4" w:rsidRDefault="002D7287" w:rsidP="009B5B8E">
            <w:pPr>
              <w:rPr>
                <w:rFonts w:cs="Times New Roman"/>
                <w:b/>
                <w:sz w:val="28"/>
                <w:szCs w:val="28"/>
              </w:rPr>
            </w:pPr>
          </w:p>
          <w:p w14:paraId="7EC3DD50" w14:textId="77777777" w:rsidR="002D7287" w:rsidRPr="002227F4" w:rsidRDefault="002D7287" w:rsidP="009B5B8E">
            <w:pPr>
              <w:rPr>
                <w:rFonts w:cs="Times New Roman"/>
                <w:b/>
                <w:sz w:val="28"/>
                <w:szCs w:val="28"/>
              </w:rPr>
            </w:pPr>
          </w:p>
        </w:tc>
        <w:tc>
          <w:tcPr>
            <w:tcW w:w="3510" w:type="dxa"/>
          </w:tcPr>
          <w:p w14:paraId="199077C0" w14:textId="77777777" w:rsidR="002D7287" w:rsidRPr="002227F4" w:rsidRDefault="002D7287" w:rsidP="006662A5">
            <w:pPr>
              <w:rPr>
                <w:rFonts w:cs="Times New Roman"/>
                <w:b/>
                <w:sz w:val="28"/>
                <w:szCs w:val="28"/>
              </w:rPr>
            </w:pPr>
          </w:p>
        </w:tc>
        <w:tc>
          <w:tcPr>
            <w:tcW w:w="1980" w:type="dxa"/>
          </w:tcPr>
          <w:p w14:paraId="54A916E9" w14:textId="77777777" w:rsidR="002D7287" w:rsidRPr="002227F4" w:rsidRDefault="002D7287" w:rsidP="006662A5">
            <w:pPr>
              <w:rPr>
                <w:rFonts w:cs="Times New Roman"/>
                <w:b/>
                <w:sz w:val="28"/>
                <w:szCs w:val="28"/>
              </w:rPr>
            </w:pPr>
          </w:p>
        </w:tc>
      </w:tr>
      <w:tr w:rsidR="00193FCA" w:rsidRPr="002227F4" w14:paraId="7B1DC587" w14:textId="75E0DD01" w:rsidTr="000E798B">
        <w:tc>
          <w:tcPr>
            <w:tcW w:w="4410" w:type="dxa"/>
          </w:tcPr>
          <w:p w14:paraId="2F008123" w14:textId="3C02860B" w:rsidR="002D7287" w:rsidRPr="002227F4" w:rsidRDefault="002D7287" w:rsidP="009B5B8E">
            <w:pPr>
              <w:rPr>
                <w:rFonts w:cs="Times New Roman"/>
                <w:b/>
                <w:sz w:val="20"/>
                <w:szCs w:val="20"/>
              </w:rPr>
            </w:pPr>
            <w:r w:rsidRPr="002227F4">
              <w:rPr>
                <w:rFonts w:cs="Times New Roman"/>
                <w:b/>
                <w:sz w:val="20"/>
                <w:szCs w:val="20"/>
              </w:rPr>
              <w:t xml:space="preserve">V.11 </w:t>
            </w:r>
            <w:r w:rsidR="00BB179E" w:rsidRPr="002227F4">
              <w:rPr>
                <w:rFonts w:cs="Times New Roman"/>
                <w:sz w:val="20"/>
                <w:szCs w:val="20"/>
              </w:rPr>
              <w:t>Instructional and research facilities and services for meeting the needs of students and faculty include access to information resources and services, computer and other information technologies, accommodations for independent study, and media production facilities.</w:t>
            </w:r>
          </w:p>
        </w:tc>
        <w:tc>
          <w:tcPr>
            <w:tcW w:w="4230" w:type="dxa"/>
            <w:gridSpan w:val="2"/>
          </w:tcPr>
          <w:p w14:paraId="4166E4FF" w14:textId="77777777" w:rsidR="002D7287" w:rsidRPr="002227F4" w:rsidRDefault="002D7287" w:rsidP="009B5B8E">
            <w:pPr>
              <w:rPr>
                <w:rFonts w:cs="Times New Roman"/>
                <w:b/>
                <w:sz w:val="28"/>
                <w:szCs w:val="28"/>
              </w:rPr>
            </w:pPr>
          </w:p>
          <w:p w14:paraId="236BD6D7" w14:textId="77777777" w:rsidR="002D7287" w:rsidRPr="002227F4" w:rsidRDefault="002D7287" w:rsidP="009B5B8E">
            <w:pPr>
              <w:rPr>
                <w:rFonts w:cs="Times New Roman"/>
                <w:b/>
                <w:sz w:val="28"/>
                <w:szCs w:val="28"/>
              </w:rPr>
            </w:pPr>
          </w:p>
        </w:tc>
        <w:tc>
          <w:tcPr>
            <w:tcW w:w="3510" w:type="dxa"/>
          </w:tcPr>
          <w:p w14:paraId="27F13DE1" w14:textId="77777777" w:rsidR="002D7287" w:rsidRPr="002227F4" w:rsidRDefault="002D7287" w:rsidP="006662A5">
            <w:pPr>
              <w:rPr>
                <w:rFonts w:cs="Times New Roman"/>
                <w:b/>
                <w:sz w:val="28"/>
                <w:szCs w:val="28"/>
              </w:rPr>
            </w:pPr>
          </w:p>
        </w:tc>
        <w:tc>
          <w:tcPr>
            <w:tcW w:w="1980" w:type="dxa"/>
          </w:tcPr>
          <w:p w14:paraId="4E8B72F0" w14:textId="77777777" w:rsidR="002D7287" w:rsidRPr="002227F4" w:rsidRDefault="002D7287" w:rsidP="006662A5">
            <w:pPr>
              <w:rPr>
                <w:rFonts w:cs="Times New Roman"/>
                <w:b/>
                <w:sz w:val="28"/>
                <w:szCs w:val="28"/>
              </w:rPr>
            </w:pPr>
          </w:p>
        </w:tc>
      </w:tr>
      <w:tr w:rsidR="00193FCA" w:rsidRPr="002227F4" w14:paraId="1E86EAE0" w14:textId="56C53987" w:rsidTr="000E798B">
        <w:tc>
          <w:tcPr>
            <w:tcW w:w="4410" w:type="dxa"/>
          </w:tcPr>
          <w:p w14:paraId="402FBA90" w14:textId="06A97BB0" w:rsidR="002D7287" w:rsidRPr="002227F4" w:rsidRDefault="002D7287" w:rsidP="009B5B8E">
            <w:pPr>
              <w:rPr>
                <w:rFonts w:cs="Times New Roman"/>
                <w:sz w:val="20"/>
                <w:szCs w:val="20"/>
              </w:rPr>
            </w:pPr>
            <w:r w:rsidRPr="002227F4">
              <w:rPr>
                <w:rFonts w:cs="Times New Roman"/>
                <w:b/>
                <w:sz w:val="20"/>
                <w:szCs w:val="20"/>
              </w:rPr>
              <w:t xml:space="preserve">V.12 </w:t>
            </w:r>
            <w:r w:rsidR="00BB179E" w:rsidRPr="002227F4">
              <w:rPr>
                <w:rFonts w:cs="Times New Roman"/>
                <w:sz w:val="20"/>
                <w:szCs w:val="20"/>
              </w:rPr>
              <w:t xml:space="preserve">The staff and the services provided for a program by libraries, media centers, and </w:t>
            </w:r>
            <w:r w:rsidR="00BB179E" w:rsidRPr="002227F4">
              <w:rPr>
                <w:rFonts w:cs="Times New Roman"/>
                <w:sz w:val="20"/>
                <w:szCs w:val="20"/>
              </w:rPr>
              <w:lastRenderedPageBreak/>
              <w:t>information technology units, as well as all other support facilities, are appropriate for the level of use required and specialized to the degree needed. These services are delivered by knowledgeable staff, convenient, accessible to the disabled, and are available when needed.</w:t>
            </w:r>
          </w:p>
        </w:tc>
        <w:tc>
          <w:tcPr>
            <w:tcW w:w="4230" w:type="dxa"/>
            <w:gridSpan w:val="2"/>
          </w:tcPr>
          <w:p w14:paraId="7A40AF02" w14:textId="77777777" w:rsidR="002D7287" w:rsidRPr="002227F4" w:rsidRDefault="002D7287" w:rsidP="009B5B8E">
            <w:pPr>
              <w:rPr>
                <w:rFonts w:cs="Times New Roman"/>
                <w:b/>
                <w:sz w:val="28"/>
                <w:szCs w:val="28"/>
              </w:rPr>
            </w:pPr>
          </w:p>
        </w:tc>
        <w:tc>
          <w:tcPr>
            <w:tcW w:w="3510" w:type="dxa"/>
          </w:tcPr>
          <w:p w14:paraId="588510CE" w14:textId="77777777" w:rsidR="002D7287" w:rsidRPr="002227F4" w:rsidRDefault="002D7287" w:rsidP="006662A5">
            <w:pPr>
              <w:rPr>
                <w:rFonts w:cs="Times New Roman"/>
                <w:b/>
                <w:sz w:val="28"/>
                <w:szCs w:val="28"/>
              </w:rPr>
            </w:pPr>
          </w:p>
        </w:tc>
        <w:tc>
          <w:tcPr>
            <w:tcW w:w="1980" w:type="dxa"/>
          </w:tcPr>
          <w:p w14:paraId="673CCFCD" w14:textId="77777777" w:rsidR="002D7287" w:rsidRPr="002227F4" w:rsidRDefault="002D7287" w:rsidP="006662A5">
            <w:pPr>
              <w:rPr>
                <w:rFonts w:cs="Times New Roman"/>
                <w:b/>
                <w:sz w:val="28"/>
                <w:szCs w:val="28"/>
              </w:rPr>
            </w:pPr>
          </w:p>
        </w:tc>
      </w:tr>
      <w:tr w:rsidR="00193FCA" w:rsidRPr="002227F4" w14:paraId="5188E420" w14:textId="22FCCA8F" w:rsidTr="000E798B">
        <w:tc>
          <w:tcPr>
            <w:tcW w:w="4410" w:type="dxa"/>
          </w:tcPr>
          <w:p w14:paraId="38ED4341" w14:textId="03813057" w:rsidR="002D7287" w:rsidRPr="002227F4" w:rsidRDefault="002D7287" w:rsidP="009B5B8E">
            <w:pPr>
              <w:rPr>
                <w:rFonts w:cs="Times New Roman"/>
                <w:sz w:val="20"/>
                <w:szCs w:val="20"/>
              </w:rPr>
            </w:pPr>
            <w:r w:rsidRPr="002227F4">
              <w:rPr>
                <w:rFonts w:cs="Times New Roman"/>
                <w:b/>
                <w:sz w:val="20"/>
                <w:szCs w:val="20"/>
              </w:rPr>
              <w:t xml:space="preserve">V.13 </w:t>
            </w:r>
            <w:r w:rsidR="00BB179E" w:rsidRPr="002227F4">
              <w:rPr>
                <w:rFonts w:cs="Times New Roman"/>
                <w:sz w:val="20"/>
                <w:szCs w:val="20"/>
              </w:rPr>
              <w:t>The program’s systematic planning and evaluation process includes review of its administrative policies, its fiscal and support policies, and its resource requirements. The program regularly reviews the adequacy of access to physical resources and facilities for the delivery of face-to-face instruction and access to the technologies and support services for the delivery of online education. Within applicable institutional policies, faculty, staff, students, and others are involved in the evaluation process.</w:t>
            </w:r>
          </w:p>
        </w:tc>
        <w:tc>
          <w:tcPr>
            <w:tcW w:w="4230" w:type="dxa"/>
            <w:gridSpan w:val="2"/>
          </w:tcPr>
          <w:p w14:paraId="26E2454A" w14:textId="77777777" w:rsidR="002D7287" w:rsidRPr="002227F4" w:rsidRDefault="002D7287" w:rsidP="009B5B8E">
            <w:pPr>
              <w:rPr>
                <w:rFonts w:cs="Times New Roman"/>
                <w:b/>
                <w:sz w:val="28"/>
                <w:szCs w:val="28"/>
              </w:rPr>
            </w:pPr>
          </w:p>
        </w:tc>
        <w:tc>
          <w:tcPr>
            <w:tcW w:w="3510" w:type="dxa"/>
          </w:tcPr>
          <w:p w14:paraId="2839FD23" w14:textId="77777777" w:rsidR="002D7287" w:rsidRPr="002227F4" w:rsidRDefault="002D7287" w:rsidP="006662A5">
            <w:pPr>
              <w:rPr>
                <w:rFonts w:cs="Times New Roman"/>
                <w:b/>
                <w:sz w:val="28"/>
                <w:szCs w:val="28"/>
              </w:rPr>
            </w:pPr>
          </w:p>
        </w:tc>
        <w:tc>
          <w:tcPr>
            <w:tcW w:w="1980" w:type="dxa"/>
          </w:tcPr>
          <w:p w14:paraId="56F396AE" w14:textId="77777777" w:rsidR="002D7287" w:rsidRPr="002227F4" w:rsidRDefault="002D7287" w:rsidP="006662A5">
            <w:pPr>
              <w:rPr>
                <w:rFonts w:cs="Times New Roman"/>
                <w:b/>
                <w:sz w:val="28"/>
                <w:szCs w:val="28"/>
              </w:rPr>
            </w:pPr>
          </w:p>
        </w:tc>
      </w:tr>
      <w:tr w:rsidR="00193FCA" w:rsidRPr="002227F4" w14:paraId="73B9230C" w14:textId="59E87D08" w:rsidTr="000E798B">
        <w:tc>
          <w:tcPr>
            <w:tcW w:w="4410" w:type="dxa"/>
          </w:tcPr>
          <w:p w14:paraId="0BA48678" w14:textId="16AEEE71" w:rsidR="002D7287" w:rsidRPr="002227F4" w:rsidRDefault="002D7287" w:rsidP="009B5B8E">
            <w:pPr>
              <w:rPr>
                <w:rFonts w:cs="Times New Roman"/>
                <w:sz w:val="20"/>
                <w:szCs w:val="20"/>
              </w:rPr>
            </w:pPr>
            <w:r w:rsidRPr="002227F4">
              <w:rPr>
                <w:rFonts w:cs="Times New Roman"/>
                <w:b/>
                <w:sz w:val="20"/>
                <w:szCs w:val="20"/>
              </w:rPr>
              <w:t xml:space="preserve">V.14 </w:t>
            </w:r>
            <w:r w:rsidR="00BB179E" w:rsidRPr="002227F4">
              <w:rPr>
                <w:rFonts w:cs="Times New Roman"/>
                <w:sz w:val="20"/>
                <w:szCs w:val="20"/>
              </w:rPr>
              <w:t>The program has explicit, documented evidence of its ongoing decision-making processes and the data to substantiate the evaluation of administration, finances, and resources.</w:t>
            </w:r>
          </w:p>
        </w:tc>
        <w:tc>
          <w:tcPr>
            <w:tcW w:w="4230" w:type="dxa"/>
            <w:gridSpan w:val="2"/>
          </w:tcPr>
          <w:p w14:paraId="1727FA47" w14:textId="77777777" w:rsidR="002D7287" w:rsidRPr="002227F4" w:rsidRDefault="002D7287" w:rsidP="009B5B8E">
            <w:pPr>
              <w:rPr>
                <w:rFonts w:cs="Times New Roman"/>
                <w:b/>
                <w:sz w:val="28"/>
                <w:szCs w:val="28"/>
              </w:rPr>
            </w:pPr>
          </w:p>
        </w:tc>
        <w:tc>
          <w:tcPr>
            <w:tcW w:w="3510" w:type="dxa"/>
          </w:tcPr>
          <w:p w14:paraId="465C4FDD" w14:textId="77777777" w:rsidR="002D7287" w:rsidRPr="002227F4" w:rsidRDefault="002D7287" w:rsidP="006662A5">
            <w:pPr>
              <w:rPr>
                <w:rFonts w:cs="Times New Roman"/>
                <w:b/>
                <w:sz w:val="28"/>
                <w:szCs w:val="28"/>
              </w:rPr>
            </w:pPr>
          </w:p>
        </w:tc>
        <w:tc>
          <w:tcPr>
            <w:tcW w:w="1980" w:type="dxa"/>
          </w:tcPr>
          <w:p w14:paraId="4711845B" w14:textId="77777777" w:rsidR="002D7287" w:rsidRPr="002227F4" w:rsidRDefault="002D7287" w:rsidP="006662A5">
            <w:pPr>
              <w:rPr>
                <w:rFonts w:cs="Times New Roman"/>
                <w:b/>
                <w:sz w:val="28"/>
                <w:szCs w:val="28"/>
              </w:rPr>
            </w:pPr>
          </w:p>
        </w:tc>
      </w:tr>
      <w:tr w:rsidR="00193FCA" w:rsidRPr="002227F4" w14:paraId="000A2CF4" w14:textId="060F78D8" w:rsidTr="000E798B">
        <w:tc>
          <w:tcPr>
            <w:tcW w:w="4410" w:type="dxa"/>
          </w:tcPr>
          <w:p w14:paraId="01CB68BC" w14:textId="2C357A52" w:rsidR="002D7287" w:rsidRPr="002227F4" w:rsidRDefault="002D7287" w:rsidP="009B5B8E">
            <w:pPr>
              <w:rPr>
                <w:rFonts w:cs="Times New Roman"/>
                <w:sz w:val="20"/>
                <w:szCs w:val="20"/>
              </w:rPr>
            </w:pPr>
            <w:r w:rsidRPr="002227F4">
              <w:rPr>
                <w:rFonts w:cs="Times New Roman"/>
                <w:b/>
                <w:sz w:val="20"/>
                <w:szCs w:val="20"/>
              </w:rPr>
              <w:t xml:space="preserve">V.15 </w:t>
            </w:r>
            <w:r w:rsidR="00BB179E" w:rsidRPr="002227F4">
              <w:rPr>
                <w:rFonts w:cs="Times New Roman"/>
                <w:sz w:val="20"/>
                <w:szCs w:val="20"/>
              </w:rPr>
              <w:t>The program demonstrates how the results of the evaluation of administration, finances, and resources, are systematically used to improve the program and to plan for the future.</w:t>
            </w:r>
          </w:p>
        </w:tc>
        <w:tc>
          <w:tcPr>
            <w:tcW w:w="4230" w:type="dxa"/>
            <w:gridSpan w:val="2"/>
          </w:tcPr>
          <w:p w14:paraId="3899D196" w14:textId="77777777" w:rsidR="002D7287" w:rsidRPr="002227F4" w:rsidRDefault="002D7287" w:rsidP="009B5B8E">
            <w:pPr>
              <w:rPr>
                <w:rFonts w:cs="Times New Roman"/>
                <w:b/>
                <w:sz w:val="28"/>
                <w:szCs w:val="28"/>
              </w:rPr>
            </w:pPr>
          </w:p>
        </w:tc>
        <w:tc>
          <w:tcPr>
            <w:tcW w:w="3510" w:type="dxa"/>
          </w:tcPr>
          <w:p w14:paraId="24DD2B3A" w14:textId="77777777" w:rsidR="002D7287" w:rsidRPr="002227F4" w:rsidRDefault="002D7287" w:rsidP="00620E48">
            <w:pPr>
              <w:rPr>
                <w:rFonts w:cs="Times New Roman"/>
                <w:b/>
                <w:sz w:val="28"/>
                <w:szCs w:val="28"/>
              </w:rPr>
            </w:pPr>
          </w:p>
        </w:tc>
        <w:tc>
          <w:tcPr>
            <w:tcW w:w="1980" w:type="dxa"/>
          </w:tcPr>
          <w:p w14:paraId="1A9BAB85" w14:textId="77777777" w:rsidR="002D7287" w:rsidRPr="002227F4" w:rsidRDefault="002D7287" w:rsidP="00620E48">
            <w:pPr>
              <w:rPr>
                <w:rFonts w:cs="Times New Roman"/>
                <w:b/>
                <w:sz w:val="28"/>
                <w:szCs w:val="28"/>
              </w:rPr>
            </w:pPr>
          </w:p>
        </w:tc>
      </w:tr>
      <w:tr w:rsidR="00205FCF" w:rsidRPr="002227F4" w14:paraId="0B160F19" w14:textId="77777777" w:rsidTr="000E798B">
        <w:tc>
          <w:tcPr>
            <w:tcW w:w="14130" w:type="dxa"/>
            <w:gridSpan w:val="5"/>
          </w:tcPr>
          <w:p w14:paraId="3F679817" w14:textId="77777777" w:rsidR="00205FCF" w:rsidRPr="002227F4" w:rsidRDefault="00205FCF" w:rsidP="009B5B8E">
            <w:pPr>
              <w:rPr>
                <w:rFonts w:cs="Times New Roman"/>
                <w:b/>
                <w:sz w:val="20"/>
                <w:szCs w:val="20"/>
              </w:rPr>
            </w:pPr>
            <w:r w:rsidRPr="002227F4">
              <w:rPr>
                <w:rFonts w:cs="Times New Roman"/>
                <w:b/>
                <w:sz w:val="20"/>
                <w:szCs w:val="20"/>
              </w:rPr>
              <w:t>Summary Standard V</w:t>
            </w:r>
          </w:p>
          <w:p w14:paraId="064F29EB" w14:textId="07C23A8E" w:rsidR="00205FCF" w:rsidRDefault="00205FCF" w:rsidP="00620E48">
            <w:pPr>
              <w:rPr>
                <w:rFonts w:cs="Times New Roman"/>
                <w:b/>
                <w:sz w:val="28"/>
                <w:szCs w:val="28"/>
              </w:rPr>
            </w:pPr>
          </w:p>
          <w:p w14:paraId="126C41DF" w14:textId="77777777" w:rsidR="00172BE3" w:rsidRPr="002227F4" w:rsidRDefault="00172BE3" w:rsidP="00620E48">
            <w:pPr>
              <w:rPr>
                <w:rFonts w:cs="Times New Roman"/>
                <w:b/>
                <w:sz w:val="28"/>
                <w:szCs w:val="28"/>
              </w:rPr>
            </w:pPr>
          </w:p>
          <w:p w14:paraId="7ECFF5CF" w14:textId="77777777" w:rsidR="00205FCF" w:rsidRPr="002227F4" w:rsidRDefault="00205FCF" w:rsidP="00620E48">
            <w:pPr>
              <w:rPr>
                <w:rFonts w:cs="Times New Roman"/>
                <w:b/>
                <w:sz w:val="28"/>
                <w:szCs w:val="28"/>
              </w:rPr>
            </w:pPr>
          </w:p>
        </w:tc>
      </w:tr>
    </w:tbl>
    <w:p w14:paraId="5B2F4352" w14:textId="29C61E0A" w:rsidR="00EC0B9A" w:rsidRPr="002227F4" w:rsidRDefault="00EC0B9A" w:rsidP="00B7150E">
      <w:pPr>
        <w:rPr>
          <w:rFonts w:cs="Times New Roman"/>
          <w:sz w:val="20"/>
          <w:szCs w:val="20"/>
        </w:rPr>
      </w:pPr>
    </w:p>
    <w:sectPr w:rsidR="00EC0B9A" w:rsidRPr="002227F4" w:rsidSect="00B7150E">
      <w:headerReference w:type="even" r:id="rId6"/>
      <w:headerReference w:type="default" r:id="rId7"/>
      <w:footerReference w:type="even" r:id="rId8"/>
      <w:footerReference w:type="default" r:id="rId9"/>
      <w:headerReference w:type="first" r:id="rId10"/>
      <w:footerReference w:type="first" r:id="rId11"/>
      <w:pgSz w:w="15840" w:h="12240" w:orient="landscape"/>
      <w:pgMar w:top="634" w:right="1166" w:bottom="720" w:left="720" w:header="27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5B6BD" w14:textId="77777777" w:rsidR="001F4AE4" w:rsidRDefault="001F4AE4" w:rsidP="00243153">
      <w:pPr>
        <w:spacing w:after="0" w:line="240" w:lineRule="auto"/>
      </w:pPr>
      <w:r>
        <w:separator/>
      </w:r>
    </w:p>
  </w:endnote>
  <w:endnote w:type="continuationSeparator" w:id="0">
    <w:p w14:paraId="6DD90FC0" w14:textId="77777777" w:rsidR="001F4AE4" w:rsidRDefault="001F4AE4" w:rsidP="00243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3552D" w14:textId="77777777" w:rsidR="001F4AE4" w:rsidRDefault="001F4AE4" w:rsidP="00FA7B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C0CC0E" w14:textId="77777777" w:rsidR="001F4AE4" w:rsidRDefault="001F4AE4" w:rsidP="00FA7B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78062" w14:textId="62F51CEC" w:rsidR="001F4AE4" w:rsidRDefault="001F4AE4" w:rsidP="00FA7B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1140">
      <w:rPr>
        <w:rStyle w:val="PageNumber"/>
        <w:noProof/>
      </w:rPr>
      <w:t>12</w:t>
    </w:r>
    <w:r>
      <w:rPr>
        <w:rStyle w:val="PageNumber"/>
      </w:rPr>
      <w:fldChar w:fldCharType="end"/>
    </w:r>
  </w:p>
  <w:p w14:paraId="62270D81" w14:textId="77777777" w:rsidR="001F4AE4" w:rsidRDefault="001F4AE4" w:rsidP="00FA7BA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3B921" w14:textId="77777777" w:rsidR="001F4AE4" w:rsidRDefault="001F4A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6989A" w14:textId="77777777" w:rsidR="001F4AE4" w:rsidRDefault="001F4AE4" w:rsidP="00243153">
      <w:pPr>
        <w:spacing w:after="0" w:line="240" w:lineRule="auto"/>
      </w:pPr>
      <w:r>
        <w:separator/>
      </w:r>
    </w:p>
  </w:footnote>
  <w:footnote w:type="continuationSeparator" w:id="0">
    <w:p w14:paraId="2148268D" w14:textId="77777777" w:rsidR="001F4AE4" w:rsidRDefault="001F4AE4" w:rsidP="002431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5CACF" w14:textId="34929EAC" w:rsidR="001F4AE4" w:rsidRDefault="001F4A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57C55" w14:textId="77DE038C" w:rsidR="001F4AE4" w:rsidRDefault="001F4A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C3D1" w14:textId="59F2040F" w:rsidR="001F4AE4" w:rsidRDefault="001F4A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517B"/>
    <w:rsid w:val="00003F4D"/>
    <w:rsid w:val="000279FF"/>
    <w:rsid w:val="000341FC"/>
    <w:rsid w:val="00057449"/>
    <w:rsid w:val="00072F6A"/>
    <w:rsid w:val="00096151"/>
    <w:rsid w:val="000A6AA4"/>
    <w:rsid w:val="000D4E8F"/>
    <w:rsid w:val="000E1A43"/>
    <w:rsid w:val="000E798B"/>
    <w:rsid w:val="001512FD"/>
    <w:rsid w:val="00170809"/>
    <w:rsid w:val="001729C3"/>
    <w:rsid w:val="00172BE3"/>
    <w:rsid w:val="00173321"/>
    <w:rsid w:val="00193C5E"/>
    <w:rsid w:val="00193FCA"/>
    <w:rsid w:val="001A07F0"/>
    <w:rsid w:val="001C4E76"/>
    <w:rsid w:val="001D47D3"/>
    <w:rsid w:val="001F4AE4"/>
    <w:rsid w:val="00205FCF"/>
    <w:rsid w:val="0021335D"/>
    <w:rsid w:val="0021517B"/>
    <w:rsid w:val="002227F4"/>
    <w:rsid w:val="00243153"/>
    <w:rsid w:val="002552B9"/>
    <w:rsid w:val="002558A0"/>
    <w:rsid w:val="002844E8"/>
    <w:rsid w:val="002A12A7"/>
    <w:rsid w:val="002A4AC6"/>
    <w:rsid w:val="002A4FF6"/>
    <w:rsid w:val="002A6ADF"/>
    <w:rsid w:val="002A76E8"/>
    <w:rsid w:val="002C262C"/>
    <w:rsid w:val="002D7287"/>
    <w:rsid w:val="00335566"/>
    <w:rsid w:val="003A63BE"/>
    <w:rsid w:val="003C0229"/>
    <w:rsid w:val="00462DBE"/>
    <w:rsid w:val="004B6554"/>
    <w:rsid w:val="004F7E47"/>
    <w:rsid w:val="005207C1"/>
    <w:rsid w:val="00535DF0"/>
    <w:rsid w:val="00554FF6"/>
    <w:rsid w:val="00566E78"/>
    <w:rsid w:val="00583D38"/>
    <w:rsid w:val="005A5394"/>
    <w:rsid w:val="005A6265"/>
    <w:rsid w:val="005D00A4"/>
    <w:rsid w:val="00620E48"/>
    <w:rsid w:val="006662A5"/>
    <w:rsid w:val="006819AE"/>
    <w:rsid w:val="00686F9F"/>
    <w:rsid w:val="006B3F8E"/>
    <w:rsid w:val="006F54B1"/>
    <w:rsid w:val="00730A48"/>
    <w:rsid w:val="0077420D"/>
    <w:rsid w:val="007774AC"/>
    <w:rsid w:val="007A2DDC"/>
    <w:rsid w:val="007E5D68"/>
    <w:rsid w:val="00800C2D"/>
    <w:rsid w:val="00815845"/>
    <w:rsid w:val="0086110A"/>
    <w:rsid w:val="0088067E"/>
    <w:rsid w:val="008919AF"/>
    <w:rsid w:val="008A1AE6"/>
    <w:rsid w:val="008D1C69"/>
    <w:rsid w:val="008D7BD9"/>
    <w:rsid w:val="008E1C32"/>
    <w:rsid w:val="009219D0"/>
    <w:rsid w:val="00936C1F"/>
    <w:rsid w:val="00994335"/>
    <w:rsid w:val="009A4ABC"/>
    <w:rsid w:val="009B5B8E"/>
    <w:rsid w:val="009E14A0"/>
    <w:rsid w:val="009E5043"/>
    <w:rsid w:val="00A16C99"/>
    <w:rsid w:val="00A17B7F"/>
    <w:rsid w:val="00A35352"/>
    <w:rsid w:val="00A87722"/>
    <w:rsid w:val="00AE0A6A"/>
    <w:rsid w:val="00AF3B21"/>
    <w:rsid w:val="00B06BD0"/>
    <w:rsid w:val="00B32C4F"/>
    <w:rsid w:val="00B654CD"/>
    <w:rsid w:val="00B7150E"/>
    <w:rsid w:val="00BB179E"/>
    <w:rsid w:val="00BD4107"/>
    <w:rsid w:val="00BF1140"/>
    <w:rsid w:val="00C407CF"/>
    <w:rsid w:val="00C55CA1"/>
    <w:rsid w:val="00C859DF"/>
    <w:rsid w:val="00CC604A"/>
    <w:rsid w:val="00CE2E57"/>
    <w:rsid w:val="00D243FE"/>
    <w:rsid w:val="00D33B52"/>
    <w:rsid w:val="00D62943"/>
    <w:rsid w:val="00DE144C"/>
    <w:rsid w:val="00DF3184"/>
    <w:rsid w:val="00E0035D"/>
    <w:rsid w:val="00E00B5E"/>
    <w:rsid w:val="00E061BA"/>
    <w:rsid w:val="00E12541"/>
    <w:rsid w:val="00E16DF5"/>
    <w:rsid w:val="00E406C9"/>
    <w:rsid w:val="00EB374F"/>
    <w:rsid w:val="00EC0B9A"/>
    <w:rsid w:val="00ED4673"/>
    <w:rsid w:val="00F00A83"/>
    <w:rsid w:val="00FA3C54"/>
    <w:rsid w:val="00FA5EE7"/>
    <w:rsid w:val="00FA7BA4"/>
    <w:rsid w:val="00FC6E67"/>
    <w:rsid w:val="00FD7E0F"/>
    <w:rsid w:val="00FE1A6E"/>
    <w:rsid w:val="00FF1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755816E"/>
  <w15:docId w15:val="{40B6A271-B8AE-4C8F-A92F-A6BC968AE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51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5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31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153"/>
  </w:style>
  <w:style w:type="paragraph" w:styleId="Footer">
    <w:name w:val="footer"/>
    <w:basedOn w:val="Normal"/>
    <w:link w:val="FooterChar"/>
    <w:uiPriority w:val="99"/>
    <w:unhideWhenUsed/>
    <w:rsid w:val="002431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153"/>
  </w:style>
  <w:style w:type="paragraph" w:styleId="ListParagraph">
    <w:name w:val="List Paragraph"/>
    <w:basedOn w:val="Normal"/>
    <w:uiPriority w:val="34"/>
    <w:qFormat/>
    <w:rsid w:val="00994335"/>
    <w:pPr>
      <w:ind w:left="720"/>
      <w:contextualSpacing/>
    </w:pPr>
  </w:style>
  <w:style w:type="character" w:styleId="PageNumber">
    <w:name w:val="page number"/>
    <w:basedOn w:val="DefaultParagraphFont"/>
    <w:uiPriority w:val="99"/>
    <w:semiHidden/>
    <w:unhideWhenUsed/>
    <w:rsid w:val="00FA7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3029</Words>
  <Characters>17267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dc:creator>
  <cp:lastModifiedBy>Kerri Price</cp:lastModifiedBy>
  <cp:revision>8</cp:revision>
  <cp:lastPrinted>2016-04-02T16:09:00Z</cp:lastPrinted>
  <dcterms:created xsi:type="dcterms:W3CDTF">2017-01-05T14:27:00Z</dcterms:created>
  <dcterms:modified xsi:type="dcterms:W3CDTF">2019-02-27T20:50:00Z</dcterms:modified>
</cp:coreProperties>
</file>