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C561" w14:textId="48DE5161" w:rsidR="00CE6680" w:rsidRPr="003815BC" w:rsidRDefault="009C03C7" w:rsidP="00CE6680">
      <w:pPr>
        <w:jc w:val="right"/>
        <w:rPr>
          <w:rFonts w:cs="Arial"/>
          <w:b/>
        </w:rPr>
      </w:pP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Pr="00A17A67">
        <w:rPr>
          <w:rFonts w:ascii="Arial" w:hAnsi="Arial" w:cs="Arial"/>
        </w:rPr>
        <w:tab/>
      </w:r>
      <w:r w:rsidR="00751CAD" w:rsidRPr="00324477">
        <w:rPr>
          <w:rFonts w:cs="Arial"/>
        </w:rPr>
        <w:t xml:space="preserve">       </w:t>
      </w:r>
      <w:r w:rsidR="00035C13" w:rsidRPr="00324477">
        <w:rPr>
          <w:rFonts w:cs="Arial"/>
        </w:rPr>
        <w:t xml:space="preserve">  </w:t>
      </w:r>
      <w:r w:rsidR="00751CAD" w:rsidRPr="00324477">
        <w:rPr>
          <w:rFonts w:cs="Arial"/>
        </w:rPr>
        <w:t xml:space="preserve"> </w:t>
      </w:r>
      <w:r w:rsidR="009A248A">
        <w:rPr>
          <w:rFonts w:cs="Arial"/>
        </w:rPr>
        <w:tab/>
      </w:r>
      <w:r w:rsidR="009A248A">
        <w:rPr>
          <w:rFonts w:cs="Arial"/>
        </w:rPr>
        <w:tab/>
      </w:r>
      <w:r w:rsidR="00CE6680" w:rsidRPr="003815BC">
        <w:rPr>
          <w:rFonts w:cs="Arial"/>
          <w:b/>
        </w:rPr>
        <w:t>EBD #</w:t>
      </w:r>
      <w:r w:rsidR="00852E0C" w:rsidRPr="003815BC">
        <w:rPr>
          <w:rFonts w:cs="Arial"/>
          <w:b/>
        </w:rPr>
        <w:t>3</w:t>
      </w:r>
      <w:r w:rsidR="00CE6680" w:rsidRPr="003815BC">
        <w:rPr>
          <w:rFonts w:cs="Arial"/>
          <w:b/>
        </w:rPr>
        <w:t>.</w:t>
      </w:r>
      <w:r w:rsidR="003815BC" w:rsidRPr="003815BC">
        <w:rPr>
          <w:rFonts w:cs="Arial"/>
          <w:b/>
        </w:rPr>
        <w:t>12</w:t>
      </w:r>
    </w:p>
    <w:p w14:paraId="25DC1AAB" w14:textId="6B734FFF" w:rsidR="00726542" w:rsidRPr="00852E0C" w:rsidRDefault="00726542" w:rsidP="00CE6680">
      <w:pPr>
        <w:jc w:val="right"/>
        <w:rPr>
          <w:rFonts w:cs="Arial"/>
          <w:b/>
        </w:rPr>
      </w:pPr>
      <w:r w:rsidRPr="003815BC">
        <w:rPr>
          <w:rFonts w:cs="Arial"/>
          <w:b/>
        </w:rPr>
        <w:t>BARC #</w:t>
      </w:r>
      <w:r w:rsidR="00852E0C" w:rsidRPr="003815BC">
        <w:rPr>
          <w:rFonts w:cs="Arial"/>
          <w:b/>
        </w:rPr>
        <w:t>3</w:t>
      </w:r>
      <w:r w:rsidRPr="003815BC">
        <w:rPr>
          <w:rFonts w:cs="Arial"/>
          <w:b/>
        </w:rPr>
        <w:t>.</w:t>
      </w:r>
      <w:r w:rsidR="003815BC" w:rsidRPr="003815BC">
        <w:rPr>
          <w:rFonts w:cs="Arial"/>
          <w:b/>
        </w:rPr>
        <w:t>12</w:t>
      </w:r>
    </w:p>
    <w:p w14:paraId="07F7D27D" w14:textId="590C982A" w:rsidR="009C03C7" w:rsidRPr="002C0A9F" w:rsidRDefault="009C03C7" w:rsidP="00CE6680">
      <w:pPr>
        <w:ind w:firstLine="720"/>
        <w:jc w:val="right"/>
        <w:rPr>
          <w:rFonts w:cs="Arial"/>
          <w:b/>
        </w:rPr>
      </w:pPr>
      <w:r w:rsidRPr="002C0A9F">
        <w:rPr>
          <w:rFonts w:cs="Arial"/>
          <w:b/>
        </w:rPr>
        <w:t>20</w:t>
      </w:r>
      <w:r w:rsidR="00785F3B">
        <w:rPr>
          <w:rFonts w:cs="Arial"/>
          <w:b/>
        </w:rPr>
        <w:t>20</w:t>
      </w:r>
      <w:r w:rsidR="00027BB6" w:rsidRPr="002C0A9F">
        <w:rPr>
          <w:rFonts w:cs="Arial"/>
          <w:b/>
        </w:rPr>
        <w:t xml:space="preserve"> </w:t>
      </w:r>
      <w:r w:rsidR="00751CAD" w:rsidRPr="002C0A9F">
        <w:rPr>
          <w:rFonts w:cs="Arial"/>
          <w:b/>
        </w:rPr>
        <w:t>-</w:t>
      </w:r>
      <w:r w:rsidRPr="002C0A9F">
        <w:rPr>
          <w:rFonts w:cs="Arial"/>
          <w:b/>
        </w:rPr>
        <w:t xml:space="preserve"> 20</w:t>
      </w:r>
      <w:r w:rsidR="002C0A9F" w:rsidRPr="002C0A9F">
        <w:rPr>
          <w:rFonts w:cs="Arial"/>
          <w:b/>
        </w:rPr>
        <w:t>2</w:t>
      </w:r>
      <w:r w:rsidR="00785F3B">
        <w:rPr>
          <w:rFonts w:cs="Arial"/>
          <w:b/>
        </w:rPr>
        <w:t>1</w:t>
      </w:r>
    </w:p>
    <w:p w14:paraId="4952BA02" w14:textId="77777777" w:rsidR="009C03C7" w:rsidRPr="00B21022" w:rsidRDefault="009C03C7" w:rsidP="009C03C7">
      <w:pPr>
        <w:rPr>
          <w:rFonts w:cs="Arial"/>
          <w:highlight w:val="yellow"/>
        </w:rPr>
      </w:pPr>
    </w:p>
    <w:p w14:paraId="05B6CC33" w14:textId="77777777" w:rsidR="009C03C7" w:rsidRPr="00B21022" w:rsidRDefault="009C03C7" w:rsidP="009C03C7">
      <w:pPr>
        <w:rPr>
          <w:rFonts w:cs="Arial"/>
          <w:highlight w:val="yellow"/>
        </w:rPr>
      </w:pPr>
    </w:p>
    <w:p w14:paraId="50C48277" w14:textId="77777777" w:rsidR="009C03C7" w:rsidRPr="00B21022" w:rsidRDefault="009C03C7" w:rsidP="009C03C7">
      <w:pPr>
        <w:rPr>
          <w:rFonts w:cs="Arial"/>
          <w:highlight w:val="yellow"/>
        </w:rPr>
      </w:pPr>
    </w:p>
    <w:p w14:paraId="1DCDE314" w14:textId="77777777" w:rsidR="009C03C7" w:rsidRPr="002C0A9F" w:rsidRDefault="009C03C7" w:rsidP="009C03C7">
      <w:pPr>
        <w:rPr>
          <w:rFonts w:cs="Arial"/>
        </w:rPr>
      </w:pPr>
      <w:r w:rsidRPr="002C0A9F">
        <w:rPr>
          <w:rFonts w:cs="Arial"/>
          <w:b/>
        </w:rPr>
        <w:t>TO:</w:t>
      </w:r>
      <w:r w:rsidRPr="002C0A9F">
        <w:rPr>
          <w:rFonts w:cs="Arial"/>
        </w:rPr>
        <w:tab/>
      </w:r>
      <w:r w:rsidRPr="002C0A9F">
        <w:rPr>
          <w:rFonts w:cs="Arial"/>
        </w:rPr>
        <w:tab/>
        <w:t>ALA Executive Board</w:t>
      </w:r>
    </w:p>
    <w:p w14:paraId="7E8D338E" w14:textId="77777777" w:rsidR="009C03C7" w:rsidRPr="00B21022" w:rsidRDefault="009C03C7" w:rsidP="009C03C7">
      <w:pPr>
        <w:rPr>
          <w:rFonts w:cs="Arial"/>
          <w:highlight w:val="yellow"/>
        </w:rPr>
      </w:pPr>
    </w:p>
    <w:p w14:paraId="09FFBEC2" w14:textId="2C02DCF9" w:rsidR="009C03C7" w:rsidRPr="00B21022" w:rsidRDefault="009C03C7" w:rsidP="009C03C7">
      <w:pPr>
        <w:rPr>
          <w:rFonts w:cs="Arial"/>
          <w:highlight w:val="yellow"/>
        </w:rPr>
      </w:pPr>
      <w:r w:rsidRPr="002C0A9F">
        <w:rPr>
          <w:rFonts w:cs="Arial"/>
          <w:b/>
        </w:rPr>
        <w:t>DATE:</w:t>
      </w:r>
      <w:r w:rsidRPr="002C0A9F">
        <w:rPr>
          <w:rFonts w:cs="Arial"/>
          <w:b/>
        </w:rPr>
        <w:tab/>
      </w:r>
      <w:r w:rsidRPr="002C0A9F">
        <w:rPr>
          <w:rFonts w:cs="Arial"/>
        </w:rPr>
        <w:tab/>
      </w:r>
      <w:r w:rsidR="00EB18C6" w:rsidRPr="00852E0C">
        <w:rPr>
          <w:rFonts w:cs="Arial"/>
        </w:rPr>
        <w:t xml:space="preserve">October </w:t>
      </w:r>
      <w:r w:rsidR="002E4009">
        <w:rPr>
          <w:rFonts w:cs="Arial"/>
        </w:rPr>
        <w:t>8</w:t>
      </w:r>
      <w:r w:rsidRPr="00852E0C">
        <w:rPr>
          <w:rFonts w:cs="Arial"/>
        </w:rPr>
        <w:t>, 20</w:t>
      </w:r>
      <w:r w:rsidR="00785F3B">
        <w:rPr>
          <w:rFonts w:cs="Arial"/>
        </w:rPr>
        <w:t>20</w:t>
      </w:r>
    </w:p>
    <w:p w14:paraId="3345C8CE" w14:textId="77777777" w:rsidR="009C03C7" w:rsidRPr="00B21022" w:rsidRDefault="009C03C7" w:rsidP="009C03C7">
      <w:pPr>
        <w:rPr>
          <w:rFonts w:cs="Arial"/>
          <w:highlight w:val="yellow"/>
        </w:rPr>
      </w:pPr>
    </w:p>
    <w:p w14:paraId="173566BF" w14:textId="77777777" w:rsidR="009C03C7" w:rsidRPr="002C0A9F" w:rsidRDefault="009C03C7" w:rsidP="009C03C7">
      <w:pPr>
        <w:rPr>
          <w:rFonts w:cs="Arial"/>
        </w:rPr>
      </w:pPr>
      <w:r w:rsidRPr="002C0A9F">
        <w:rPr>
          <w:rFonts w:cs="Arial"/>
          <w:b/>
        </w:rPr>
        <w:t>RE:</w:t>
      </w:r>
      <w:r w:rsidRPr="002C0A9F">
        <w:rPr>
          <w:rFonts w:cs="Arial"/>
        </w:rPr>
        <w:tab/>
      </w:r>
      <w:r w:rsidRPr="002C0A9F">
        <w:rPr>
          <w:rFonts w:cs="Arial"/>
        </w:rPr>
        <w:tab/>
        <w:t>Director of Financial Reporting and Compliance Report</w:t>
      </w:r>
    </w:p>
    <w:p w14:paraId="76B3740B" w14:textId="77777777" w:rsidR="00751CAD" w:rsidRPr="002C0A9F" w:rsidRDefault="00751CAD" w:rsidP="009C03C7">
      <w:pPr>
        <w:rPr>
          <w:rFonts w:cs="Arial"/>
        </w:rPr>
      </w:pPr>
    </w:p>
    <w:p w14:paraId="5D77AED9" w14:textId="77777777" w:rsidR="009C03C7" w:rsidRPr="002C0A9F" w:rsidRDefault="009C03C7" w:rsidP="009C03C7">
      <w:pPr>
        <w:rPr>
          <w:rFonts w:cs="Arial"/>
          <w:b/>
        </w:rPr>
      </w:pPr>
      <w:r w:rsidRPr="002C0A9F">
        <w:rPr>
          <w:rFonts w:cs="Arial"/>
          <w:b/>
        </w:rPr>
        <w:t>ACTION REQUESTED/INFORMATION</w:t>
      </w:r>
      <w:r w:rsidR="00D072FB" w:rsidRPr="002C0A9F">
        <w:rPr>
          <w:rFonts w:cs="Arial"/>
          <w:b/>
        </w:rPr>
        <w:t>/</w:t>
      </w:r>
      <w:r w:rsidRPr="002C0A9F">
        <w:rPr>
          <w:rFonts w:cs="Arial"/>
          <w:b/>
        </w:rPr>
        <w:t>REPORT:</w:t>
      </w:r>
    </w:p>
    <w:p w14:paraId="537BA78D" w14:textId="77777777" w:rsidR="00DA27AD" w:rsidRPr="002C0A9F" w:rsidRDefault="00A1730E" w:rsidP="00CE6680">
      <w:pPr>
        <w:autoSpaceDE w:val="0"/>
        <w:autoSpaceDN w:val="0"/>
        <w:adjustRightInd w:val="0"/>
        <w:rPr>
          <w:rFonts w:cs="Arial"/>
        </w:rPr>
      </w:pPr>
      <w:r w:rsidRPr="002C0A9F">
        <w:rPr>
          <w:bCs/>
        </w:rPr>
        <w:t>Action requested</w:t>
      </w:r>
      <w:r w:rsidR="00DA27AD" w:rsidRPr="002C0A9F">
        <w:rPr>
          <w:bCs/>
        </w:rPr>
        <w:t>/Information</w:t>
      </w:r>
    </w:p>
    <w:p w14:paraId="49D7BB91" w14:textId="77777777" w:rsidR="009C03C7" w:rsidRPr="002C0A9F" w:rsidRDefault="009C03C7" w:rsidP="00D072FB">
      <w:pPr>
        <w:ind w:firstLine="720"/>
        <w:rPr>
          <w:rFonts w:cs="Arial"/>
        </w:rPr>
      </w:pPr>
    </w:p>
    <w:p w14:paraId="7443805D" w14:textId="77777777" w:rsidR="009C03C7" w:rsidRPr="002C0A9F" w:rsidRDefault="009C03C7" w:rsidP="009C03C7">
      <w:pPr>
        <w:rPr>
          <w:rFonts w:cs="Arial"/>
          <w:b/>
        </w:rPr>
      </w:pPr>
      <w:r w:rsidRPr="002C0A9F">
        <w:rPr>
          <w:rFonts w:cs="Arial"/>
          <w:b/>
        </w:rPr>
        <w:t>CONTACT PERSON:</w:t>
      </w:r>
    </w:p>
    <w:p w14:paraId="5CA0760E" w14:textId="77777777" w:rsidR="009C03C7" w:rsidRPr="002C0A9F" w:rsidRDefault="009C03C7" w:rsidP="00CE6680">
      <w:pPr>
        <w:rPr>
          <w:rFonts w:cs="Arial"/>
          <w:i/>
        </w:rPr>
      </w:pPr>
      <w:r w:rsidRPr="002C0A9F">
        <w:rPr>
          <w:rFonts w:cs="Arial"/>
        </w:rPr>
        <w:t>Denise Moritz, Director of Financial Reporting and Compliance, 312-280-5834</w:t>
      </w:r>
    </w:p>
    <w:p w14:paraId="12DDE41C" w14:textId="77777777" w:rsidR="009C03C7" w:rsidRPr="00B21022" w:rsidRDefault="009C03C7" w:rsidP="009C03C7">
      <w:pPr>
        <w:rPr>
          <w:rFonts w:cs="Arial"/>
          <w:i/>
          <w:highlight w:val="yellow"/>
        </w:rPr>
      </w:pPr>
    </w:p>
    <w:p w14:paraId="6584C4A9" w14:textId="77777777" w:rsidR="00CE6680" w:rsidRPr="002C0A9F" w:rsidRDefault="00CE6680" w:rsidP="00CE6680">
      <w:pPr>
        <w:rPr>
          <w:b/>
        </w:rPr>
      </w:pPr>
      <w:r w:rsidRPr="002C0A9F">
        <w:rPr>
          <w:b/>
        </w:rPr>
        <w:t>DRAFT OF MOTION:</w:t>
      </w:r>
    </w:p>
    <w:p w14:paraId="317973F8" w14:textId="524B61A9" w:rsidR="00CE6680" w:rsidRPr="002C0A9F" w:rsidRDefault="00CE6680" w:rsidP="00CE6680">
      <w:r w:rsidRPr="003815BC">
        <w:t xml:space="preserve">The Finance &amp; Audit Committee recommends to the Executive Board acceptance of the </w:t>
      </w:r>
      <w:r w:rsidR="002C0A9F" w:rsidRPr="003815BC">
        <w:t xml:space="preserve">Retirement Plan </w:t>
      </w:r>
      <w:r w:rsidRPr="003815BC">
        <w:t>audit as issued by Mueller &amp; Co., LLP</w:t>
      </w:r>
    </w:p>
    <w:p w14:paraId="1B62AC24" w14:textId="77777777" w:rsidR="00CE6680" w:rsidRPr="00B21022" w:rsidRDefault="00CE6680" w:rsidP="00CE6680">
      <w:pPr>
        <w:rPr>
          <w:bCs/>
          <w:highlight w:val="yellow"/>
        </w:rPr>
      </w:pPr>
      <w:r w:rsidRPr="00B21022">
        <w:rPr>
          <w:bCs/>
          <w:highlight w:val="yellow"/>
        </w:rPr>
        <w:t xml:space="preserve"> </w:t>
      </w:r>
    </w:p>
    <w:p w14:paraId="337299A6" w14:textId="77777777" w:rsidR="009C03C7" w:rsidRPr="00983E7C" w:rsidRDefault="009C03C7" w:rsidP="009C03C7">
      <w:pPr>
        <w:rPr>
          <w:rFonts w:cs="Arial"/>
          <w:b/>
        </w:rPr>
      </w:pPr>
      <w:r w:rsidRPr="00983E7C">
        <w:rPr>
          <w:rFonts w:cs="Arial"/>
          <w:b/>
        </w:rPr>
        <w:t>BACKGROUND:</w:t>
      </w:r>
    </w:p>
    <w:p w14:paraId="4E7D5477" w14:textId="77777777" w:rsidR="009C03C7" w:rsidRPr="00983E7C" w:rsidRDefault="009C03C7" w:rsidP="009C03C7">
      <w:pPr>
        <w:rPr>
          <w:rFonts w:cs="Arial"/>
        </w:rPr>
      </w:pPr>
      <w:r w:rsidRPr="00983E7C">
        <w:rPr>
          <w:rFonts w:cs="Arial"/>
        </w:rPr>
        <w:tab/>
        <w:t>This report highlights the following:</w:t>
      </w:r>
    </w:p>
    <w:p w14:paraId="391E26EF" w14:textId="77777777" w:rsidR="00F20882" w:rsidRPr="00983E7C" w:rsidRDefault="00F20882" w:rsidP="00A3748F">
      <w:pPr>
        <w:pStyle w:val="ListParagraph"/>
        <w:numPr>
          <w:ilvl w:val="0"/>
          <w:numId w:val="19"/>
        </w:numPr>
        <w:rPr>
          <w:rFonts w:cs="Arial"/>
        </w:rPr>
      </w:pPr>
      <w:r w:rsidRPr="00983E7C">
        <w:rPr>
          <w:rFonts w:cs="Arial"/>
        </w:rPr>
        <w:t xml:space="preserve">Form 5500 </w:t>
      </w:r>
      <w:r w:rsidR="00324477" w:rsidRPr="00983E7C">
        <w:rPr>
          <w:rFonts w:cs="Arial"/>
        </w:rPr>
        <w:t>filings</w:t>
      </w:r>
    </w:p>
    <w:p w14:paraId="54C86029" w14:textId="37D864A8" w:rsidR="00F20882" w:rsidRPr="00983E7C" w:rsidRDefault="00983E7C" w:rsidP="008E3942">
      <w:pPr>
        <w:pStyle w:val="ListParagraph"/>
        <w:numPr>
          <w:ilvl w:val="0"/>
          <w:numId w:val="19"/>
        </w:numPr>
        <w:rPr>
          <w:rFonts w:cs="Arial"/>
        </w:rPr>
      </w:pPr>
      <w:r w:rsidRPr="00983E7C">
        <w:rPr>
          <w:rFonts w:cs="Arial"/>
        </w:rPr>
        <w:t xml:space="preserve">Retirement Plan </w:t>
      </w:r>
      <w:r w:rsidR="00F20882" w:rsidRPr="00983E7C">
        <w:rPr>
          <w:rFonts w:cs="Arial"/>
        </w:rPr>
        <w:t>audit</w:t>
      </w:r>
      <w:r w:rsidR="00A1730E" w:rsidRPr="00983E7C">
        <w:rPr>
          <w:rFonts w:cs="Arial"/>
        </w:rPr>
        <w:t xml:space="preserve"> for calendar year 201</w:t>
      </w:r>
      <w:r w:rsidR="00A97F5E">
        <w:rPr>
          <w:rFonts w:cs="Arial"/>
        </w:rPr>
        <w:t>9</w:t>
      </w:r>
    </w:p>
    <w:p w14:paraId="261DEDB9" w14:textId="77777777" w:rsidR="00871DC2" w:rsidRPr="003815BC" w:rsidRDefault="00871DC2" w:rsidP="00871DC2">
      <w:pPr>
        <w:pStyle w:val="ListParagraph"/>
        <w:numPr>
          <w:ilvl w:val="0"/>
          <w:numId w:val="30"/>
        </w:numPr>
        <w:rPr>
          <w:rFonts w:cs="Arial"/>
        </w:rPr>
      </w:pPr>
      <w:r w:rsidRPr="003815BC">
        <w:rPr>
          <w:rFonts w:cs="Arial"/>
          <w:b/>
          <w:i/>
        </w:rPr>
        <w:t>Action Item</w:t>
      </w:r>
      <w:r w:rsidRPr="003815BC">
        <w:rPr>
          <w:rFonts w:cs="Arial"/>
        </w:rPr>
        <w:t xml:space="preserve"> </w:t>
      </w:r>
    </w:p>
    <w:p w14:paraId="65358A1A" w14:textId="3DF9806D" w:rsidR="006E7AC5" w:rsidRPr="00983E7C" w:rsidRDefault="006E7AC5" w:rsidP="009C03C7">
      <w:pPr>
        <w:pStyle w:val="ListParagraph"/>
        <w:numPr>
          <w:ilvl w:val="0"/>
          <w:numId w:val="19"/>
        </w:numPr>
        <w:rPr>
          <w:rFonts w:cs="Arial"/>
        </w:rPr>
      </w:pPr>
      <w:r w:rsidRPr="00983E7C">
        <w:rPr>
          <w:rFonts w:cs="Arial"/>
        </w:rPr>
        <w:t>Audit for the fiscal year end</w:t>
      </w:r>
      <w:r w:rsidR="008E3942" w:rsidRPr="00983E7C">
        <w:rPr>
          <w:rFonts w:cs="Arial"/>
        </w:rPr>
        <w:t>ed</w:t>
      </w:r>
      <w:r w:rsidRPr="00983E7C">
        <w:rPr>
          <w:rFonts w:cs="Arial"/>
        </w:rPr>
        <w:t xml:space="preserve"> August 31, 20</w:t>
      </w:r>
      <w:r w:rsidR="00A97F5E">
        <w:rPr>
          <w:rFonts w:cs="Arial"/>
        </w:rPr>
        <w:t>20</w:t>
      </w:r>
    </w:p>
    <w:p w14:paraId="51FFF49D" w14:textId="77777777" w:rsidR="006E7AC5" w:rsidRPr="00983E7C" w:rsidRDefault="006E7AC5" w:rsidP="006E7AC5">
      <w:pPr>
        <w:pStyle w:val="ListParagraph"/>
        <w:numPr>
          <w:ilvl w:val="0"/>
          <w:numId w:val="30"/>
        </w:numPr>
        <w:rPr>
          <w:rFonts w:cs="Arial"/>
        </w:rPr>
      </w:pPr>
      <w:r w:rsidRPr="00983E7C">
        <w:rPr>
          <w:rFonts w:cs="Arial"/>
        </w:rPr>
        <w:t>Impairment testing</w:t>
      </w:r>
    </w:p>
    <w:p w14:paraId="63581DD3" w14:textId="77777777" w:rsidR="006E7AC5" w:rsidRPr="00983E7C" w:rsidRDefault="006E7AC5" w:rsidP="006E7AC5">
      <w:pPr>
        <w:pStyle w:val="ListParagraph"/>
        <w:numPr>
          <w:ilvl w:val="0"/>
          <w:numId w:val="30"/>
        </w:numPr>
        <w:rPr>
          <w:rFonts w:cs="Arial"/>
        </w:rPr>
      </w:pPr>
      <w:r w:rsidRPr="00983E7C">
        <w:rPr>
          <w:rFonts w:cs="Arial"/>
        </w:rPr>
        <w:t>Actuarial analysis</w:t>
      </w:r>
    </w:p>
    <w:p w14:paraId="1B0E442E" w14:textId="3D1EE797" w:rsidR="00E22D2E" w:rsidRPr="00A97F5E" w:rsidRDefault="008E3942" w:rsidP="00A97F5E">
      <w:pPr>
        <w:pStyle w:val="ListParagraph"/>
        <w:numPr>
          <w:ilvl w:val="0"/>
          <w:numId w:val="19"/>
        </w:numPr>
        <w:rPr>
          <w:rFonts w:cs="Arial"/>
        </w:rPr>
      </w:pPr>
      <w:r w:rsidRPr="00983E7C">
        <w:rPr>
          <w:rFonts w:cs="Arial"/>
        </w:rPr>
        <w:t>Form 990, Form 990-T and other filings</w:t>
      </w:r>
    </w:p>
    <w:p w14:paraId="46417E57" w14:textId="0BA9472C" w:rsidR="00173A40" w:rsidRPr="00983E7C" w:rsidRDefault="00983E7C" w:rsidP="00983E7C">
      <w:pPr>
        <w:pStyle w:val="ListParagraph"/>
        <w:numPr>
          <w:ilvl w:val="0"/>
          <w:numId w:val="19"/>
        </w:numPr>
        <w:rPr>
          <w:rFonts w:cs="Arial"/>
        </w:rPr>
      </w:pPr>
      <w:r w:rsidRPr="00983E7C">
        <w:rPr>
          <w:rFonts w:cs="Arial"/>
        </w:rPr>
        <w:t>New audit reporting requirements</w:t>
      </w:r>
    </w:p>
    <w:p w14:paraId="77DC252D" w14:textId="77777777" w:rsidR="00E22D2E" w:rsidRPr="00B21022" w:rsidRDefault="00E22D2E" w:rsidP="00173A40">
      <w:pPr>
        <w:pStyle w:val="ListParagraph"/>
        <w:ind w:left="1080"/>
        <w:rPr>
          <w:rFonts w:cs="Arial"/>
          <w:highlight w:val="yellow"/>
        </w:rPr>
      </w:pPr>
    </w:p>
    <w:p w14:paraId="5998A77F" w14:textId="77777777" w:rsidR="00324477" w:rsidRPr="00B21022" w:rsidRDefault="00324477" w:rsidP="00173A40">
      <w:pPr>
        <w:pStyle w:val="ListParagraph"/>
        <w:ind w:left="1080"/>
        <w:rPr>
          <w:rFonts w:cs="Arial"/>
          <w:highlight w:val="yellow"/>
        </w:rPr>
      </w:pPr>
    </w:p>
    <w:p w14:paraId="505E8F73" w14:textId="77777777" w:rsidR="00871DC2" w:rsidRPr="00B21022" w:rsidRDefault="00871DC2" w:rsidP="00871DC2">
      <w:pPr>
        <w:pStyle w:val="ListParagraph"/>
        <w:ind w:left="1080"/>
        <w:rPr>
          <w:rFonts w:cs="Arial"/>
          <w:i/>
          <w:highlight w:val="yellow"/>
        </w:rPr>
      </w:pPr>
    </w:p>
    <w:p w14:paraId="56B20039" w14:textId="77777777" w:rsidR="00324477" w:rsidRPr="00B21022" w:rsidRDefault="00324477" w:rsidP="00173A40">
      <w:pPr>
        <w:pStyle w:val="ListParagraph"/>
        <w:ind w:left="1080"/>
        <w:rPr>
          <w:rFonts w:cs="Arial"/>
          <w:highlight w:val="yellow"/>
        </w:rPr>
      </w:pPr>
    </w:p>
    <w:p w14:paraId="05BF758F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1D0DA32D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2F39BFFA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5586B05D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2B28B1C2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53382E60" w14:textId="77777777" w:rsidR="00A502E1" w:rsidRPr="00B21022" w:rsidRDefault="00A502E1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2D57FCFB" w14:textId="77777777" w:rsidR="00A502E1" w:rsidRPr="00B21022" w:rsidRDefault="00A502E1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2390F670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0B4AE495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532FDCF4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6E3C58A6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1C21DA9C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59CC415A" w14:textId="77777777" w:rsidR="00324477" w:rsidRPr="00B21022" w:rsidRDefault="00324477" w:rsidP="00173A40">
      <w:pPr>
        <w:pStyle w:val="ListParagraph"/>
        <w:ind w:left="1080"/>
        <w:rPr>
          <w:rFonts w:ascii="Arial" w:hAnsi="Arial" w:cs="Arial"/>
          <w:highlight w:val="yellow"/>
        </w:rPr>
      </w:pPr>
    </w:p>
    <w:p w14:paraId="0BF3F9C2" w14:textId="77777777" w:rsidR="00F47B18" w:rsidRPr="00AB200F" w:rsidRDefault="005A1468" w:rsidP="005A1468">
      <w:pPr>
        <w:tabs>
          <w:tab w:val="left" w:pos="1080"/>
        </w:tabs>
        <w:jc w:val="center"/>
        <w:rPr>
          <w:b/>
          <w:sz w:val="32"/>
          <w:szCs w:val="32"/>
        </w:rPr>
      </w:pPr>
      <w:r w:rsidRPr="00AB200F">
        <w:rPr>
          <w:b/>
          <w:sz w:val="32"/>
          <w:szCs w:val="32"/>
        </w:rPr>
        <w:t xml:space="preserve">Report of the </w:t>
      </w:r>
      <w:r w:rsidR="00457CB1" w:rsidRPr="00AB200F">
        <w:rPr>
          <w:b/>
          <w:sz w:val="32"/>
          <w:szCs w:val="32"/>
        </w:rPr>
        <w:t xml:space="preserve">Director </w:t>
      </w:r>
      <w:r w:rsidRPr="00AB200F">
        <w:rPr>
          <w:b/>
          <w:sz w:val="32"/>
          <w:szCs w:val="32"/>
        </w:rPr>
        <w:t>of Financial Reporting and Compliance</w:t>
      </w:r>
    </w:p>
    <w:p w14:paraId="29C135B6" w14:textId="77777777" w:rsidR="000F1979" w:rsidRPr="00AB200F" w:rsidRDefault="000F1979" w:rsidP="000F1979"/>
    <w:p w14:paraId="74363D5D" w14:textId="0A615D06" w:rsidR="000F1979" w:rsidRPr="00AB200F" w:rsidRDefault="000F1979" w:rsidP="00324477">
      <w:r w:rsidRPr="00AB200F">
        <w:t xml:space="preserve">Form </w:t>
      </w:r>
      <w:r w:rsidR="00173A40" w:rsidRPr="00AB200F">
        <w:t>5500</w:t>
      </w:r>
      <w:r w:rsidR="0009352C" w:rsidRPr="00AB200F">
        <w:t xml:space="preserve"> filings</w:t>
      </w:r>
      <w:r w:rsidR="00173A40" w:rsidRPr="00AB200F">
        <w:t xml:space="preserve"> </w:t>
      </w:r>
      <w:r w:rsidRPr="00AB200F">
        <w:t xml:space="preserve">for the </w:t>
      </w:r>
      <w:r w:rsidR="00173A40" w:rsidRPr="00AB200F">
        <w:t xml:space="preserve">calendar </w:t>
      </w:r>
      <w:r w:rsidRPr="00AB200F">
        <w:t xml:space="preserve">year ended </w:t>
      </w:r>
      <w:r w:rsidR="00173A40" w:rsidRPr="00AB200F">
        <w:t xml:space="preserve">December </w:t>
      </w:r>
      <w:r w:rsidRPr="00AB200F">
        <w:t>31, 201</w:t>
      </w:r>
      <w:r w:rsidR="00921CA2">
        <w:t>9</w:t>
      </w:r>
      <w:r w:rsidR="00447BCA" w:rsidRPr="00AB200F">
        <w:t xml:space="preserve"> </w:t>
      </w:r>
    </w:p>
    <w:p w14:paraId="5FDD061B" w14:textId="197EEF8F" w:rsidR="00855CEF" w:rsidRPr="00AB200F" w:rsidRDefault="000F1979" w:rsidP="00855CEF">
      <w:pPr>
        <w:pStyle w:val="ListParagraph"/>
        <w:numPr>
          <w:ilvl w:val="0"/>
          <w:numId w:val="6"/>
        </w:numPr>
      </w:pPr>
      <w:r w:rsidRPr="00AB200F">
        <w:t xml:space="preserve">Form </w:t>
      </w:r>
      <w:r w:rsidR="00173A40" w:rsidRPr="00AB200F">
        <w:t xml:space="preserve">5500 </w:t>
      </w:r>
      <w:r w:rsidR="0054532E" w:rsidRPr="00AB200F">
        <w:t>for ALA’s Employee Benef</w:t>
      </w:r>
      <w:r w:rsidR="0054532E" w:rsidRPr="00A9758F">
        <w:t>it</w:t>
      </w:r>
      <w:r w:rsidR="0010181E" w:rsidRPr="00A9758F">
        <w:t xml:space="preserve"> Plans w</w:t>
      </w:r>
      <w:r w:rsidR="00071385">
        <w:t xml:space="preserve">as </w:t>
      </w:r>
      <w:r w:rsidR="00A1730E" w:rsidRPr="00A9758F">
        <w:t xml:space="preserve">electronically </w:t>
      </w:r>
      <w:r w:rsidR="0010181E" w:rsidRPr="00A9758F">
        <w:t>filed with the</w:t>
      </w:r>
      <w:r w:rsidR="00370FA6" w:rsidRPr="00A9758F">
        <w:t xml:space="preserve"> Department of Labor</w:t>
      </w:r>
      <w:r w:rsidR="0010181E" w:rsidRPr="00A9758F">
        <w:t xml:space="preserve"> </w:t>
      </w:r>
      <w:r w:rsidR="00071385">
        <w:t>on</w:t>
      </w:r>
      <w:r w:rsidR="002E4009">
        <w:t xml:space="preserve"> October </w:t>
      </w:r>
      <w:r w:rsidR="00071385">
        <w:t>9</w:t>
      </w:r>
      <w:r w:rsidR="002E4009">
        <w:t>, 2020.</w:t>
      </w:r>
    </w:p>
    <w:p w14:paraId="3D40143F" w14:textId="40923429" w:rsidR="000F1979" w:rsidRPr="00A9758F" w:rsidRDefault="0032478A" w:rsidP="00855CEF">
      <w:pPr>
        <w:pStyle w:val="ListParagraph"/>
        <w:numPr>
          <w:ilvl w:val="0"/>
          <w:numId w:val="6"/>
        </w:numPr>
      </w:pPr>
      <w:r w:rsidRPr="00A9758F">
        <w:t xml:space="preserve">Form 5500 </w:t>
      </w:r>
      <w:r w:rsidR="00370FA6" w:rsidRPr="00A9758F">
        <w:t xml:space="preserve">and Form 8955-SSA </w:t>
      </w:r>
      <w:r w:rsidRPr="00A9758F">
        <w:t xml:space="preserve">for ALA’s Retirement Plan </w:t>
      </w:r>
      <w:r w:rsidR="002E4009">
        <w:t>w</w:t>
      </w:r>
      <w:r w:rsidR="00071385">
        <w:t xml:space="preserve">as </w:t>
      </w:r>
      <w:r w:rsidR="00A1730E" w:rsidRPr="00A9758F">
        <w:t xml:space="preserve">electronically </w:t>
      </w:r>
      <w:r w:rsidR="00833474" w:rsidRPr="00A9758F">
        <w:t xml:space="preserve">filed </w:t>
      </w:r>
      <w:bookmarkStart w:id="0" w:name="_GoBack"/>
      <w:bookmarkEnd w:id="0"/>
      <w:r w:rsidR="00833474" w:rsidRPr="00A9758F">
        <w:t>with the</w:t>
      </w:r>
      <w:r w:rsidR="00370FA6" w:rsidRPr="00A9758F">
        <w:t xml:space="preserve"> Department of Labor and the </w:t>
      </w:r>
      <w:r w:rsidR="00833474" w:rsidRPr="00A9758F">
        <w:t xml:space="preserve">Internal Revenue Service </w:t>
      </w:r>
      <w:r w:rsidR="00071385">
        <w:t xml:space="preserve">on </w:t>
      </w:r>
      <w:r w:rsidR="002E4009">
        <w:t xml:space="preserve">October </w:t>
      </w:r>
      <w:r w:rsidR="00071385">
        <w:t>8</w:t>
      </w:r>
      <w:r w:rsidR="002E4009">
        <w:t>, 2020.</w:t>
      </w:r>
    </w:p>
    <w:p w14:paraId="5E5597F1" w14:textId="77777777" w:rsidR="00447BCA" w:rsidRPr="00B21022" w:rsidRDefault="00447BCA" w:rsidP="00A1730E">
      <w:pPr>
        <w:pStyle w:val="ListParagraph"/>
        <w:ind w:left="1440"/>
        <w:rPr>
          <w:highlight w:val="yellow"/>
        </w:rPr>
      </w:pPr>
    </w:p>
    <w:p w14:paraId="14B2D757" w14:textId="61C497B9" w:rsidR="000F1979" w:rsidRPr="00F66DC0" w:rsidRDefault="00F66DC0" w:rsidP="000F1979">
      <w:r w:rsidRPr="00F66DC0">
        <w:t xml:space="preserve">Retirement Plan </w:t>
      </w:r>
      <w:r w:rsidR="000F1979" w:rsidRPr="00F66DC0">
        <w:t>audit</w:t>
      </w:r>
      <w:r w:rsidR="000A660A" w:rsidRPr="00F66DC0">
        <w:t xml:space="preserve"> </w:t>
      </w:r>
      <w:r w:rsidR="00324477" w:rsidRPr="00F66DC0">
        <w:t>for the calendar year ended December 31, 201</w:t>
      </w:r>
      <w:r w:rsidR="00921CA2">
        <w:t>9</w:t>
      </w:r>
    </w:p>
    <w:p w14:paraId="2BFBCF77" w14:textId="7C235AA4" w:rsidR="000F1979" w:rsidRDefault="000F1979" w:rsidP="000F1979">
      <w:pPr>
        <w:pStyle w:val="ListParagraph"/>
        <w:ind w:left="1440"/>
      </w:pPr>
      <w:r w:rsidRPr="00FA5662">
        <w:t xml:space="preserve">The </w:t>
      </w:r>
      <w:r w:rsidR="000A660A" w:rsidRPr="00FA5662">
        <w:t xml:space="preserve">management representation </w:t>
      </w:r>
      <w:r w:rsidRPr="00FA5662">
        <w:t xml:space="preserve">letter </w:t>
      </w:r>
      <w:r w:rsidR="003813A4" w:rsidRPr="00FA5662">
        <w:t>for the</w:t>
      </w:r>
      <w:r w:rsidR="003813A4" w:rsidRPr="00F66DC0">
        <w:t xml:space="preserve"> audit for the </w:t>
      </w:r>
      <w:r w:rsidR="008E3942" w:rsidRPr="00F66DC0">
        <w:t xml:space="preserve">calendar </w:t>
      </w:r>
      <w:r w:rsidR="003813A4" w:rsidRPr="00F66DC0">
        <w:t>year ended December 31, 201</w:t>
      </w:r>
      <w:r w:rsidR="00921CA2">
        <w:t>9</w:t>
      </w:r>
      <w:r w:rsidR="003813A4" w:rsidRPr="00F66DC0">
        <w:t xml:space="preserve"> </w:t>
      </w:r>
      <w:r w:rsidRPr="00F66DC0">
        <w:t xml:space="preserve">has been </w:t>
      </w:r>
      <w:r w:rsidR="000A660A" w:rsidRPr="00F66DC0">
        <w:t>signed</w:t>
      </w:r>
      <w:r w:rsidR="003813A4" w:rsidRPr="00F66DC0">
        <w:t xml:space="preserve"> </w:t>
      </w:r>
      <w:r w:rsidRPr="00F66DC0">
        <w:t xml:space="preserve">and fieldwork </w:t>
      </w:r>
      <w:r w:rsidR="000A660A" w:rsidRPr="00F66DC0">
        <w:t xml:space="preserve">has been completed. Final audit reports were delivered </w:t>
      </w:r>
      <w:r w:rsidR="008E3942" w:rsidRPr="00F66DC0">
        <w:t xml:space="preserve">to ALA </w:t>
      </w:r>
      <w:r w:rsidR="008766AC">
        <w:t>i</w:t>
      </w:r>
      <w:r w:rsidR="000A660A" w:rsidRPr="00F66DC0">
        <w:t xml:space="preserve">n </w:t>
      </w:r>
      <w:r w:rsidR="00FA5662">
        <w:t>October 2020</w:t>
      </w:r>
      <w:r w:rsidR="002C4D7F" w:rsidRPr="008766AC">
        <w:t>.</w:t>
      </w:r>
    </w:p>
    <w:p w14:paraId="407BBA63" w14:textId="34BAAB67" w:rsidR="002C4D7F" w:rsidRPr="00B21022" w:rsidRDefault="00FA5662" w:rsidP="00935291">
      <w:pPr>
        <w:pStyle w:val="NormalWeb"/>
        <w:rPr>
          <w:highlight w:val="yellow"/>
        </w:rPr>
      </w:pPr>
      <w:r>
        <w:tab/>
      </w:r>
      <w:r>
        <w:tab/>
      </w:r>
      <w:r>
        <w:tab/>
      </w:r>
      <w:r>
        <w:tab/>
      </w:r>
    </w:p>
    <w:p w14:paraId="642224EF" w14:textId="47C95C94" w:rsidR="00B01928" w:rsidRPr="00F66DC0" w:rsidRDefault="00B01928" w:rsidP="00B01928">
      <w:pPr>
        <w:rPr>
          <w:rFonts w:eastAsia="Times New Roman" w:cs="Arial"/>
        </w:rPr>
      </w:pPr>
      <w:r w:rsidRPr="00F66DC0">
        <w:rPr>
          <w:rFonts w:eastAsia="Times New Roman" w:cs="Arial"/>
        </w:rPr>
        <w:t xml:space="preserve">Audit for </w:t>
      </w:r>
      <w:r w:rsidR="008E3942" w:rsidRPr="00F66DC0">
        <w:rPr>
          <w:rFonts w:eastAsia="Times New Roman" w:cs="Arial"/>
        </w:rPr>
        <w:t xml:space="preserve">the </w:t>
      </w:r>
      <w:r w:rsidRPr="00F66DC0">
        <w:rPr>
          <w:rFonts w:eastAsia="Times New Roman" w:cs="Arial"/>
        </w:rPr>
        <w:t>fiscal year end</w:t>
      </w:r>
      <w:r w:rsidR="00E027C0" w:rsidRPr="00F66DC0">
        <w:rPr>
          <w:rFonts w:eastAsia="Times New Roman" w:cs="Arial"/>
        </w:rPr>
        <w:t>ed</w:t>
      </w:r>
      <w:r w:rsidRPr="00F66DC0">
        <w:rPr>
          <w:rFonts w:eastAsia="Times New Roman" w:cs="Arial"/>
        </w:rPr>
        <w:t xml:space="preserve"> August 31, 20</w:t>
      </w:r>
      <w:r w:rsidR="00921CA2">
        <w:rPr>
          <w:rFonts w:eastAsia="Times New Roman" w:cs="Arial"/>
        </w:rPr>
        <w:t>20</w:t>
      </w:r>
    </w:p>
    <w:p w14:paraId="0CEFD4D8" w14:textId="60150B12" w:rsidR="007A2D47" w:rsidRDefault="007A2D47" w:rsidP="00B01928">
      <w:pPr>
        <w:pStyle w:val="ListParagraph"/>
        <w:numPr>
          <w:ilvl w:val="0"/>
          <w:numId w:val="32"/>
        </w:numPr>
        <w:rPr>
          <w:rFonts w:eastAsia="Times New Roman" w:cs="Arial"/>
        </w:rPr>
      </w:pPr>
      <w:r w:rsidRPr="00F66DC0">
        <w:rPr>
          <w:rFonts w:eastAsia="Times New Roman" w:cs="Arial"/>
        </w:rPr>
        <w:t>Im</w:t>
      </w:r>
      <w:r w:rsidRPr="00CF1EC8">
        <w:rPr>
          <w:rFonts w:eastAsia="Times New Roman" w:cs="Arial"/>
        </w:rPr>
        <w:t>pairment testing</w:t>
      </w:r>
    </w:p>
    <w:p w14:paraId="7984B525" w14:textId="77777777" w:rsidR="00CF358C" w:rsidRDefault="00CF358C" w:rsidP="00CF358C">
      <w:pPr>
        <w:pStyle w:val="ListParagraph"/>
        <w:ind w:left="1440"/>
        <w:rPr>
          <w:rFonts w:eastAsia="Times New Roman" w:cs="Arial"/>
        </w:rPr>
      </w:pPr>
    </w:p>
    <w:p w14:paraId="572E1576" w14:textId="6B6414F4" w:rsidR="00CF358C" w:rsidRPr="00CF358C" w:rsidRDefault="00CF358C" w:rsidP="00CF358C">
      <w:pPr>
        <w:pStyle w:val="ListParagraph"/>
        <w:ind w:left="1440"/>
        <w:rPr>
          <w:rFonts w:eastAsia="Times New Roman" w:cs="Arial"/>
        </w:rPr>
      </w:pPr>
      <w:r w:rsidRPr="00CF358C">
        <w:rPr>
          <w:rFonts w:eastAsia="Times New Roman" w:cs="Arial"/>
        </w:rPr>
        <w:t xml:space="preserve">Historical recap: </w:t>
      </w:r>
    </w:p>
    <w:p w14:paraId="1DFA388B" w14:textId="77777777" w:rsidR="00CF358C" w:rsidRPr="00CF358C" w:rsidRDefault="00CF358C" w:rsidP="00CF358C">
      <w:pPr>
        <w:pStyle w:val="ListParagraph"/>
        <w:ind w:left="2160"/>
        <w:rPr>
          <w:rFonts w:eastAsia="Times New Roman" w:cs="Arial"/>
        </w:rPr>
      </w:pPr>
      <w:r w:rsidRPr="00CF358C">
        <w:rPr>
          <w:rFonts w:eastAsia="Times New Roman" w:cs="Arial"/>
        </w:rPr>
        <w:t>Goodwill impairment losses have been reported on the audited financial statements of the Publishing Department as follows:</w:t>
      </w:r>
    </w:p>
    <w:p w14:paraId="2357FCD2" w14:textId="77777777" w:rsidR="00CF358C" w:rsidRPr="00CF358C" w:rsidRDefault="00CF358C" w:rsidP="00CF358C">
      <w:pPr>
        <w:pStyle w:val="ListParagraph"/>
        <w:ind w:left="1440"/>
        <w:rPr>
          <w:rFonts w:eastAsia="Times New Roman" w:cs="Arial"/>
        </w:rPr>
      </w:pPr>
      <w:r w:rsidRPr="00CF358C">
        <w:rPr>
          <w:rFonts w:eastAsia="Times New Roman" w:cs="Arial"/>
        </w:rPr>
        <w:tab/>
      </w:r>
    </w:p>
    <w:p w14:paraId="018AD358" w14:textId="77777777" w:rsidR="00CF358C" w:rsidRPr="00CF358C" w:rsidRDefault="00CF358C" w:rsidP="00CF358C">
      <w:pPr>
        <w:pStyle w:val="ListParagraph"/>
        <w:ind w:left="1440"/>
        <w:rPr>
          <w:rFonts w:eastAsia="Times New Roman" w:cs="Arial"/>
        </w:rPr>
      </w:pPr>
      <w:r w:rsidRPr="00CF358C">
        <w:rPr>
          <w:rFonts w:eastAsia="Times New Roman" w:cs="Arial"/>
        </w:rPr>
        <w:tab/>
      </w:r>
      <w:r w:rsidRPr="00CF358C">
        <w:rPr>
          <w:rFonts w:eastAsia="Times New Roman" w:cs="Arial"/>
        </w:rPr>
        <w:tab/>
      </w:r>
      <w:bookmarkStart w:id="1" w:name="_MON_1601127341"/>
      <w:bookmarkEnd w:id="1"/>
      <w:r w:rsidRPr="005B1055">
        <w:object w:dxaOrig="4521" w:dyaOrig="2079" w14:anchorId="5B514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103.8pt" o:ole="">
            <v:imagedata r:id="rId8" o:title=""/>
          </v:shape>
          <o:OLEObject Type="Embed" ProgID="Excel.Sheet.12" ShapeID="_x0000_i1025" DrawAspect="Content" ObjectID="_1663746727" r:id="rId9"/>
        </w:object>
      </w:r>
    </w:p>
    <w:p w14:paraId="45DA7C48" w14:textId="77777777" w:rsidR="00CF358C" w:rsidRPr="00CF358C" w:rsidRDefault="00CF358C" w:rsidP="00CF358C">
      <w:pPr>
        <w:pStyle w:val="ListParagraph"/>
        <w:ind w:left="1440"/>
        <w:rPr>
          <w:rFonts w:eastAsia="Times New Roman" w:cs="Arial"/>
        </w:rPr>
      </w:pPr>
    </w:p>
    <w:p w14:paraId="69DEC187" w14:textId="77777777" w:rsidR="00CF358C" w:rsidRPr="00CF358C" w:rsidRDefault="00CF358C" w:rsidP="00CF358C">
      <w:pPr>
        <w:pStyle w:val="ListParagraph"/>
        <w:ind w:left="2160"/>
        <w:rPr>
          <w:rFonts w:eastAsia="Times New Roman" w:cs="Arial"/>
        </w:rPr>
      </w:pPr>
      <w:r w:rsidRPr="00CF358C">
        <w:rPr>
          <w:rFonts w:eastAsia="Times New Roman" w:cs="Arial"/>
        </w:rPr>
        <w:t xml:space="preserve">In addition, a $380,000 impairment loss on intangible assets was recognized in FY 2013. </w:t>
      </w:r>
    </w:p>
    <w:p w14:paraId="21B34883" w14:textId="77777777" w:rsidR="00CF358C" w:rsidRPr="00CF358C" w:rsidRDefault="00CF358C" w:rsidP="00CF358C">
      <w:pPr>
        <w:pStyle w:val="ListParagraph"/>
        <w:ind w:left="1440"/>
        <w:rPr>
          <w:rFonts w:eastAsia="Times New Roman" w:cs="Arial"/>
          <w:highlight w:val="yellow"/>
        </w:rPr>
      </w:pPr>
    </w:p>
    <w:p w14:paraId="406E426F" w14:textId="2017EDEE" w:rsidR="00981DA0" w:rsidRDefault="00981DA0" w:rsidP="00524866">
      <w:pPr>
        <w:pStyle w:val="ListParagraph"/>
        <w:ind w:left="1440"/>
        <w:rPr>
          <w:rFonts w:eastAsia="Times New Roman" w:cs="Arial"/>
        </w:rPr>
      </w:pPr>
      <w:r w:rsidRPr="00981DA0">
        <w:rPr>
          <w:rFonts w:eastAsia="Times New Roman" w:cs="Arial"/>
        </w:rPr>
        <w:t xml:space="preserve">In May 2019, the Financial Accounting Standards Board issued </w:t>
      </w:r>
      <w:r w:rsidR="00524866">
        <w:rPr>
          <w:rFonts w:eastAsia="Times New Roman" w:cs="Arial"/>
        </w:rPr>
        <w:t xml:space="preserve">a new accounting standard </w:t>
      </w:r>
      <w:r w:rsidRPr="00524866">
        <w:rPr>
          <w:rFonts w:eastAsia="Times New Roman" w:cs="Arial"/>
        </w:rPr>
        <w:t xml:space="preserve">which extended the Private Company Accounting Alternatives on Goodwill and Certain Identifiable Intangible Assets to Not-for-Profit Entities. The Public Company Council </w:t>
      </w:r>
      <w:r w:rsidRPr="00CF358C">
        <w:rPr>
          <w:rFonts w:eastAsia="Times New Roman" w:cs="Arial"/>
        </w:rPr>
        <w:t>(PCC)</w:t>
      </w:r>
      <w:r w:rsidRPr="00524866">
        <w:rPr>
          <w:rFonts w:eastAsia="Times New Roman" w:cs="Arial"/>
        </w:rPr>
        <w:t xml:space="preserve"> alternative gives not-for-profits the option to amortize goodwill over 10 years, negating the need for impairment testing (unless there is a </w:t>
      </w:r>
      <w:r w:rsidRPr="0085135C">
        <w:rPr>
          <w:rFonts w:eastAsia="Times New Roman" w:cs="Arial"/>
        </w:rPr>
        <w:t>triggering event).</w:t>
      </w:r>
    </w:p>
    <w:p w14:paraId="510F86D2" w14:textId="77777777" w:rsidR="002345BA" w:rsidRPr="00524866" w:rsidRDefault="002345BA" w:rsidP="00524866">
      <w:pPr>
        <w:pStyle w:val="ListParagraph"/>
        <w:ind w:left="1440"/>
        <w:rPr>
          <w:rFonts w:eastAsia="Times New Roman" w:cs="Arial"/>
        </w:rPr>
      </w:pPr>
    </w:p>
    <w:p w14:paraId="259F38C5" w14:textId="7B7C0365" w:rsidR="00D64E58" w:rsidRDefault="00412E9B" w:rsidP="00242FA3">
      <w:pPr>
        <w:ind w:left="1440"/>
        <w:rPr>
          <w:rFonts w:eastAsia="Times New Roman" w:cs="Arial"/>
        </w:rPr>
      </w:pPr>
      <w:r w:rsidRPr="004A5349">
        <w:rPr>
          <w:rFonts w:eastAsia="Times New Roman" w:cs="Arial"/>
        </w:rPr>
        <w:t xml:space="preserve">Internal strategic meetings and discussions were held </w:t>
      </w:r>
      <w:r w:rsidR="004A5349" w:rsidRPr="004A5349">
        <w:rPr>
          <w:rFonts w:eastAsia="Times New Roman" w:cs="Arial"/>
        </w:rPr>
        <w:t xml:space="preserve">between March and October </w:t>
      </w:r>
      <w:r w:rsidRPr="004A5349">
        <w:rPr>
          <w:rFonts w:eastAsia="Times New Roman" w:cs="Arial"/>
        </w:rPr>
        <w:t>20</w:t>
      </w:r>
      <w:r w:rsidR="004A5349" w:rsidRPr="004A5349">
        <w:rPr>
          <w:rFonts w:eastAsia="Times New Roman" w:cs="Arial"/>
        </w:rPr>
        <w:t>20</w:t>
      </w:r>
      <w:r w:rsidRPr="004A5349">
        <w:rPr>
          <w:rFonts w:eastAsia="Times New Roman" w:cs="Arial"/>
        </w:rPr>
        <w:t xml:space="preserve"> between the Publishing</w:t>
      </w:r>
      <w:r w:rsidR="004A5349" w:rsidRPr="004A5349">
        <w:rPr>
          <w:rFonts w:eastAsia="Times New Roman" w:cs="Arial"/>
        </w:rPr>
        <w:t xml:space="preserve"> Department and the </w:t>
      </w:r>
      <w:r w:rsidRPr="004A5349">
        <w:rPr>
          <w:rFonts w:eastAsia="Times New Roman" w:cs="Arial"/>
        </w:rPr>
        <w:t xml:space="preserve">Finance </w:t>
      </w:r>
      <w:r w:rsidR="004A5349" w:rsidRPr="004A5349">
        <w:rPr>
          <w:rFonts w:eastAsia="Times New Roman" w:cs="Arial"/>
        </w:rPr>
        <w:t>and Executive Office</w:t>
      </w:r>
      <w:r w:rsidR="004A5349" w:rsidRPr="00933EB5">
        <w:rPr>
          <w:rFonts w:eastAsia="Times New Roman" w:cs="Arial"/>
        </w:rPr>
        <w:t>s</w:t>
      </w:r>
      <w:r w:rsidRPr="00933EB5">
        <w:rPr>
          <w:rFonts w:eastAsia="Times New Roman" w:cs="Arial"/>
        </w:rPr>
        <w:t>.</w:t>
      </w:r>
      <w:r w:rsidR="00CF358C">
        <w:rPr>
          <w:rFonts w:eastAsia="Times New Roman" w:cs="Arial"/>
        </w:rPr>
        <w:t xml:space="preserve"> </w:t>
      </w:r>
      <w:r w:rsidR="00933EB5" w:rsidRPr="00933EB5">
        <w:rPr>
          <w:rFonts w:eastAsia="Times New Roman" w:cs="Arial"/>
        </w:rPr>
        <w:t xml:space="preserve">Working with ALA’s valuation experts </w:t>
      </w:r>
      <w:r w:rsidR="008F61F6">
        <w:rPr>
          <w:rFonts w:eastAsia="Times New Roman" w:cs="Arial"/>
        </w:rPr>
        <w:t xml:space="preserve">(Plante Moran) </w:t>
      </w:r>
      <w:r w:rsidR="00933EB5" w:rsidRPr="00933EB5">
        <w:rPr>
          <w:rFonts w:eastAsia="Times New Roman" w:cs="Arial"/>
        </w:rPr>
        <w:t>and independent financial statement auditors (Mueller &amp; Co., LLP)</w:t>
      </w:r>
      <w:r w:rsidR="008F61F6">
        <w:rPr>
          <w:rFonts w:eastAsia="Times New Roman" w:cs="Arial"/>
        </w:rPr>
        <w:t xml:space="preserve">, </w:t>
      </w:r>
      <w:r w:rsidR="00D64E58" w:rsidRPr="00D64E58">
        <w:rPr>
          <w:rFonts w:eastAsia="Times New Roman" w:cs="Arial"/>
        </w:rPr>
        <w:t>ALA will adopt the PCC alternative</w:t>
      </w:r>
      <w:r w:rsidR="00D64E58">
        <w:rPr>
          <w:rFonts w:eastAsia="Times New Roman" w:cs="Arial"/>
        </w:rPr>
        <w:t xml:space="preserve"> in FY 2020. </w:t>
      </w:r>
    </w:p>
    <w:p w14:paraId="4014C083" w14:textId="5227B811" w:rsidR="006E0F6A" w:rsidRDefault="006E0F6A" w:rsidP="00242FA3">
      <w:pPr>
        <w:ind w:left="1440"/>
        <w:rPr>
          <w:rFonts w:eastAsia="Times New Roman" w:cs="Arial"/>
        </w:rPr>
      </w:pPr>
    </w:p>
    <w:p w14:paraId="48278ECF" w14:textId="4E7B0666" w:rsidR="00933EB5" w:rsidRDefault="00CF358C" w:rsidP="00CF358C">
      <w:pPr>
        <w:pStyle w:val="ListParagraph"/>
        <w:ind w:left="1440"/>
        <w:rPr>
          <w:rFonts w:eastAsia="Times New Roman" w:cs="Arial"/>
        </w:rPr>
      </w:pPr>
      <w:r w:rsidRPr="001234CB">
        <w:rPr>
          <w:rFonts w:eastAsia="Times New Roman" w:cs="Arial"/>
        </w:rPr>
        <w:lastRenderedPageBreak/>
        <w:t xml:space="preserve">The current fair market value of goodwill under consideration is $1,000,000. </w:t>
      </w:r>
      <w:r w:rsidR="006E0F6A">
        <w:t xml:space="preserve">As of August 31, 2019, there was one remaining intangible asset with 2 ½ years left to amortize. </w:t>
      </w:r>
      <w:r w:rsidR="00D64E58">
        <w:t xml:space="preserve">To be consistent, </w:t>
      </w:r>
      <w:r w:rsidR="003815BC">
        <w:t xml:space="preserve">goodwill should be </w:t>
      </w:r>
      <w:r w:rsidR="006E0F6A">
        <w:t>amortize</w:t>
      </w:r>
      <w:r w:rsidR="003815BC">
        <w:t>d</w:t>
      </w:r>
      <w:r w:rsidR="006E0F6A">
        <w:t xml:space="preserve"> </w:t>
      </w:r>
      <w:r w:rsidR="006E0F6A">
        <w:rPr>
          <w:rFonts w:eastAsia="Times New Roman" w:cs="Arial"/>
        </w:rPr>
        <w:t xml:space="preserve">over this same </w:t>
      </w:r>
      <w:r w:rsidR="006E0F6A">
        <w:t>period so that all intangibles and goodwill will then be zero after those 2 ½ years.</w:t>
      </w:r>
    </w:p>
    <w:p w14:paraId="6453787F" w14:textId="77777777" w:rsidR="006E0F6A" w:rsidRDefault="006E0F6A" w:rsidP="00242FA3">
      <w:pPr>
        <w:ind w:left="1440"/>
        <w:rPr>
          <w:rFonts w:eastAsia="Times New Roman" w:cs="Arial"/>
        </w:rPr>
      </w:pPr>
    </w:p>
    <w:p w14:paraId="423CB81C" w14:textId="1210BD9D" w:rsidR="006E0F6A" w:rsidRDefault="006E0F6A" w:rsidP="00D64E58">
      <w:pPr>
        <w:ind w:left="1440" w:firstLine="720"/>
      </w:pPr>
      <w:r>
        <w:t>Write</w:t>
      </w:r>
      <w:r w:rsidR="00D64E58">
        <w:t>-</w:t>
      </w:r>
      <w:r>
        <w:t xml:space="preserve">off </w:t>
      </w:r>
      <w:r w:rsidR="00D64E58">
        <w:t xml:space="preserve">of goodwill </w:t>
      </w:r>
      <w:r w:rsidR="00CF358C">
        <w:t xml:space="preserve">is planned </w:t>
      </w:r>
      <w:r>
        <w:t>as follows:</w:t>
      </w:r>
    </w:p>
    <w:p w14:paraId="2E6FDE51" w14:textId="3808A091" w:rsidR="006E0F6A" w:rsidRDefault="006E0F6A" w:rsidP="00D64E58">
      <w:pPr>
        <w:ind w:left="2880" w:firstLine="720"/>
      </w:pPr>
      <w:r>
        <w:t>FY 2020 - $400,000</w:t>
      </w:r>
    </w:p>
    <w:p w14:paraId="7BF5621D" w14:textId="7E2B8DE9" w:rsidR="00D64E58" w:rsidRDefault="006E0F6A" w:rsidP="00D64E58">
      <w:pPr>
        <w:ind w:left="2880" w:firstLine="720"/>
      </w:pPr>
      <w:r>
        <w:t>FY 2021 - $400,000</w:t>
      </w:r>
    </w:p>
    <w:p w14:paraId="575A5A8A" w14:textId="6229E2F9" w:rsidR="006E0F6A" w:rsidRDefault="006E0F6A" w:rsidP="00D64E58">
      <w:pPr>
        <w:ind w:left="2880" w:firstLine="720"/>
      </w:pPr>
      <w:r>
        <w:t>FY 2022 - $200,000</w:t>
      </w:r>
    </w:p>
    <w:p w14:paraId="40503840" w14:textId="77777777" w:rsidR="006E0F6A" w:rsidRDefault="006E0F6A" w:rsidP="006E0F6A"/>
    <w:p w14:paraId="00979BD9" w14:textId="7767C1DB" w:rsidR="001107BB" w:rsidRDefault="00AD0BA0" w:rsidP="00242FA3">
      <w:pPr>
        <w:ind w:left="1440"/>
        <w:rPr>
          <w:rFonts w:eastAsia="Times New Roman" w:cs="Arial"/>
        </w:rPr>
      </w:pPr>
      <w:r>
        <w:rPr>
          <w:rFonts w:eastAsia="Times New Roman" w:cs="Arial"/>
        </w:rPr>
        <w:tab/>
      </w:r>
      <w:r w:rsidR="001107BB">
        <w:rPr>
          <w:rFonts w:eastAsia="Times New Roman" w:cs="Arial"/>
        </w:rPr>
        <w:t>Benefits:</w:t>
      </w:r>
    </w:p>
    <w:p w14:paraId="69B191F4" w14:textId="1F7DE6DC" w:rsidR="001107BB" w:rsidRDefault="001107BB" w:rsidP="00AD0BA0">
      <w:pPr>
        <w:pStyle w:val="ListParagraph"/>
        <w:numPr>
          <w:ilvl w:val="3"/>
          <w:numId w:val="46"/>
        </w:numPr>
        <w:rPr>
          <w:rFonts w:eastAsia="Times New Roman" w:cs="Arial"/>
        </w:rPr>
      </w:pPr>
      <w:r>
        <w:rPr>
          <w:rFonts w:eastAsia="Times New Roman" w:cs="Arial"/>
        </w:rPr>
        <w:t>N</w:t>
      </w:r>
      <w:r w:rsidR="00D64E58" w:rsidRPr="001107BB">
        <w:rPr>
          <w:rFonts w:eastAsia="Times New Roman" w:cs="Arial"/>
        </w:rPr>
        <w:t>o cash flow impact between FY 2020 and FY 2022</w:t>
      </w:r>
    </w:p>
    <w:p w14:paraId="3C0E5220" w14:textId="609BD16A" w:rsidR="001107BB" w:rsidRDefault="001107BB" w:rsidP="00AD0BA0">
      <w:pPr>
        <w:pStyle w:val="ListParagraph"/>
        <w:numPr>
          <w:ilvl w:val="3"/>
          <w:numId w:val="46"/>
        </w:numPr>
        <w:rPr>
          <w:rFonts w:eastAsia="Times New Roman" w:cs="Arial"/>
        </w:rPr>
      </w:pPr>
      <w:r>
        <w:rPr>
          <w:rFonts w:eastAsia="Times New Roman" w:cs="Arial"/>
        </w:rPr>
        <w:t>Savings of staff time</w:t>
      </w:r>
      <w:r w:rsidR="00FB54CB">
        <w:rPr>
          <w:rFonts w:eastAsia="Times New Roman" w:cs="Arial"/>
        </w:rPr>
        <w:t xml:space="preserve"> </w:t>
      </w:r>
    </w:p>
    <w:p w14:paraId="15EC002A" w14:textId="3F1B49A5" w:rsidR="001107BB" w:rsidRPr="001107BB" w:rsidRDefault="001107BB" w:rsidP="00AD0BA0">
      <w:pPr>
        <w:pStyle w:val="ListParagraph"/>
        <w:numPr>
          <w:ilvl w:val="3"/>
          <w:numId w:val="46"/>
        </w:numPr>
        <w:rPr>
          <w:rFonts w:eastAsia="Times New Roman" w:cs="Arial"/>
        </w:rPr>
      </w:pPr>
      <w:r>
        <w:rPr>
          <w:rFonts w:eastAsia="Times New Roman" w:cs="Arial"/>
        </w:rPr>
        <w:t>Savings of professional fees</w:t>
      </w:r>
    </w:p>
    <w:p w14:paraId="1ACCDBBB" w14:textId="77777777" w:rsidR="001107BB" w:rsidRDefault="001107BB" w:rsidP="00242FA3">
      <w:pPr>
        <w:ind w:left="1440"/>
        <w:rPr>
          <w:rFonts w:eastAsia="Times New Roman" w:cs="Arial"/>
        </w:rPr>
      </w:pPr>
    </w:p>
    <w:p w14:paraId="3B69BC42" w14:textId="77777777" w:rsidR="007A2D47" w:rsidRPr="001234CB" w:rsidRDefault="007A2D47" w:rsidP="00B01928">
      <w:pPr>
        <w:pStyle w:val="ListParagraph"/>
        <w:numPr>
          <w:ilvl w:val="0"/>
          <w:numId w:val="32"/>
        </w:numPr>
        <w:rPr>
          <w:rFonts w:eastAsia="Times New Roman" w:cs="Arial"/>
        </w:rPr>
      </w:pPr>
      <w:r w:rsidRPr="001234CB">
        <w:rPr>
          <w:rFonts w:eastAsia="Times New Roman" w:cs="Arial"/>
        </w:rPr>
        <w:t>Actuarial analysis</w:t>
      </w:r>
    </w:p>
    <w:p w14:paraId="6267F881" w14:textId="53D82CC7" w:rsidR="008B2314" w:rsidRPr="001234CB" w:rsidRDefault="00642006" w:rsidP="00751CAD">
      <w:pPr>
        <w:pStyle w:val="ListParagraph"/>
        <w:ind w:left="1440"/>
        <w:rPr>
          <w:rFonts w:eastAsia="Times New Roman" w:cs="Arial"/>
        </w:rPr>
      </w:pPr>
      <w:r w:rsidRPr="00313DF5">
        <w:rPr>
          <w:rFonts w:eastAsia="Times New Roman" w:cs="Arial"/>
        </w:rPr>
        <w:t xml:space="preserve">ALA’s Finance Department </w:t>
      </w:r>
      <w:r w:rsidR="00313DF5" w:rsidRPr="00313DF5">
        <w:rPr>
          <w:rFonts w:eastAsia="Times New Roman" w:cs="Arial"/>
        </w:rPr>
        <w:t xml:space="preserve">conducted </w:t>
      </w:r>
      <w:r w:rsidR="00833474" w:rsidRPr="00313DF5">
        <w:rPr>
          <w:rFonts w:eastAsia="Times New Roman" w:cs="Arial"/>
        </w:rPr>
        <w:t xml:space="preserve">planning </w:t>
      </w:r>
      <w:r w:rsidR="00313DF5" w:rsidRPr="00313DF5">
        <w:rPr>
          <w:rFonts w:eastAsia="Times New Roman" w:cs="Arial"/>
        </w:rPr>
        <w:t xml:space="preserve">activities in September and October </w:t>
      </w:r>
      <w:r w:rsidR="00833474" w:rsidRPr="00313DF5">
        <w:rPr>
          <w:rFonts w:eastAsia="Times New Roman" w:cs="Arial"/>
        </w:rPr>
        <w:t>20</w:t>
      </w:r>
      <w:r w:rsidR="00313DF5" w:rsidRPr="00313DF5">
        <w:rPr>
          <w:rFonts w:eastAsia="Times New Roman" w:cs="Arial"/>
        </w:rPr>
        <w:t xml:space="preserve">20 </w:t>
      </w:r>
      <w:r w:rsidR="00833474" w:rsidRPr="00313DF5">
        <w:rPr>
          <w:rFonts w:eastAsia="Times New Roman" w:cs="Arial"/>
        </w:rPr>
        <w:t xml:space="preserve">with </w:t>
      </w:r>
      <w:r w:rsidR="00722145" w:rsidRPr="00313DF5">
        <w:rPr>
          <w:rFonts w:eastAsia="Times New Roman" w:cs="Arial"/>
        </w:rPr>
        <w:t xml:space="preserve">ALA’s </w:t>
      </w:r>
      <w:r w:rsidR="00833474" w:rsidRPr="00313DF5">
        <w:rPr>
          <w:rFonts w:eastAsia="Times New Roman" w:cs="Arial"/>
        </w:rPr>
        <w:t>actuary</w:t>
      </w:r>
      <w:r w:rsidR="00FB76A0" w:rsidRPr="00313DF5">
        <w:rPr>
          <w:rFonts w:eastAsia="Times New Roman" w:cs="Arial"/>
        </w:rPr>
        <w:t xml:space="preserve"> and financial statement auditors</w:t>
      </w:r>
      <w:r w:rsidR="00833474" w:rsidRPr="00313DF5">
        <w:rPr>
          <w:rFonts w:eastAsia="Times New Roman" w:cs="Arial"/>
        </w:rPr>
        <w:t>. Assumptions to be used in the calculation of the post-retirement benefit obligation were discussed.</w:t>
      </w:r>
      <w:r w:rsidR="00833474" w:rsidRPr="001234CB">
        <w:rPr>
          <w:rFonts w:eastAsia="Times New Roman" w:cs="Arial"/>
        </w:rPr>
        <w:t xml:space="preserve"> </w:t>
      </w:r>
    </w:p>
    <w:p w14:paraId="49B56679" w14:textId="6EC26CAA" w:rsidR="00F67BAC" w:rsidRDefault="00F67BAC" w:rsidP="00751CAD">
      <w:pPr>
        <w:pStyle w:val="ListParagraph"/>
        <w:ind w:left="1440"/>
        <w:rPr>
          <w:rFonts w:eastAsia="Times New Roman" w:cs="Arial"/>
        </w:rPr>
      </w:pPr>
    </w:p>
    <w:p w14:paraId="24FA6612" w14:textId="77777777" w:rsidR="00B208AA" w:rsidRPr="001234CB" w:rsidRDefault="00B208AA" w:rsidP="00751CAD">
      <w:pPr>
        <w:pStyle w:val="ListParagraph"/>
        <w:ind w:left="1440"/>
        <w:rPr>
          <w:rFonts w:eastAsia="Times New Roman" w:cs="Arial"/>
          <w:b/>
          <w:u w:val="single"/>
        </w:rPr>
      </w:pPr>
      <w:r w:rsidRPr="001234CB">
        <w:rPr>
          <w:rFonts w:eastAsia="Times New Roman" w:cs="Arial"/>
          <w:b/>
          <w:u w:val="single"/>
        </w:rPr>
        <w:t>Historical recap</w:t>
      </w:r>
    </w:p>
    <w:p w14:paraId="10B17341" w14:textId="715E3549" w:rsidR="00B208AA" w:rsidRPr="001234CB" w:rsidRDefault="00B208AA" w:rsidP="00751CAD">
      <w:pPr>
        <w:pStyle w:val="ListParagraph"/>
        <w:ind w:left="1440"/>
      </w:pPr>
      <w:r w:rsidRPr="001234CB">
        <w:rPr>
          <w:rFonts w:eastAsia="Times New Roman" w:cs="Arial"/>
        </w:rPr>
        <w:t xml:space="preserve">Change to Medicare Advantage Plan – In FY 2017, ALA </w:t>
      </w:r>
      <w:r w:rsidRPr="001234CB">
        <w:t xml:space="preserve">created two pools of insureds: (1) retirees </w:t>
      </w:r>
      <w:r w:rsidRPr="001234CB">
        <w:sym w:font="Wingdings" w:char="F0E0"/>
      </w:r>
      <w:r w:rsidRPr="001234CB">
        <w:t xml:space="preserve"> Blue Cross Blue Shield (BCBS) Medicare Advantage Plan and (2) current employees </w:t>
      </w:r>
      <w:r w:rsidRPr="001234CB">
        <w:sym w:font="Wingdings" w:char="F0E0"/>
      </w:r>
      <w:r w:rsidRPr="001234CB">
        <w:t xml:space="preserve"> regular BCBS plan. This change resulted in a decrease in the projected expense of approximately $12.5 million.</w:t>
      </w:r>
    </w:p>
    <w:p w14:paraId="2540A0FF" w14:textId="3B6D0C70" w:rsidR="00B208AA" w:rsidRPr="001234CB" w:rsidRDefault="00B208AA" w:rsidP="00751CAD">
      <w:pPr>
        <w:pStyle w:val="ListParagraph"/>
        <w:ind w:left="1440"/>
        <w:rPr>
          <w:rFonts w:eastAsia="Times New Roman" w:cs="Arial"/>
        </w:rPr>
      </w:pPr>
    </w:p>
    <w:p w14:paraId="6182E832" w14:textId="38A31A41" w:rsidR="00B208AA" w:rsidRPr="001234CB" w:rsidRDefault="00B208AA" w:rsidP="00751CAD">
      <w:pPr>
        <w:pStyle w:val="ListParagraph"/>
        <w:ind w:left="1440"/>
        <w:rPr>
          <w:rFonts w:eastAsia="Times New Roman" w:cs="Arial"/>
          <w:b/>
          <w:u w:val="single"/>
        </w:rPr>
      </w:pPr>
      <w:r w:rsidRPr="001234CB">
        <w:rPr>
          <w:rFonts w:eastAsia="Times New Roman" w:cs="Arial"/>
          <w:b/>
          <w:u w:val="single"/>
        </w:rPr>
        <w:t xml:space="preserve">Amendment to Post-retirement </w:t>
      </w:r>
      <w:r w:rsidR="0030740F" w:rsidRPr="001234CB">
        <w:rPr>
          <w:rFonts w:eastAsia="Times New Roman" w:cs="Arial"/>
          <w:b/>
          <w:u w:val="single"/>
        </w:rPr>
        <w:t>B</w:t>
      </w:r>
      <w:r w:rsidRPr="001234CB">
        <w:rPr>
          <w:rFonts w:eastAsia="Times New Roman" w:cs="Arial"/>
          <w:b/>
          <w:u w:val="single"/>
        </w:rPr>
        <w:t xml:space="preserve">enefit </w:t>
      </w:r>
      <w:r w:rsidR="0030740F" w:rsidRPr="001234CB">
        <w:rPr>
          <w:rFonts w:eastAsia="Times New Roman" w:cs="Arial"/>
          <w:b/>
          <w:u w:val="single"/>
        </w:rPr>
        <w:t>P</w:t>
      </w:r>
      <w:r w:rsidRPr="001234CB">
        <w:rPr>
          <w:rFonts w:eastAsia="Times New Roman" w:cs="Arial"/>
          <w:b/>
          <w:u w:val="single"/>
        </w:rPr>
        <w:t>lan in FY 2018</w:t>
      </w:r>
    </w:p>
    <w:p w14:paraId="332A42C5" w14:textId="643310DE" w:rsidR="00B208AA" w:rsidRPr="001234CB" w:rsidRDefault="00B208AA" w:rsidP="00B208AA">
      <w:pPr>
        <w:pStyle w:val="ListParagraph"/>
        <w:ind w:left="1440"/>
      </w:pPr>
      <w:r w:rsidRPr="001234CB">
        <w:rPr>
          <w:rFonts w:eastAsia="Times New Roman" w:cs="Arial"/>
        </w:rPr>
        <w:t xml:space="preserve">Effective August 23, 2018, the Post-retirement Benefit Plan was amended to change the </w:t>
      </w:r>
      <w:r w:rsidRPr="001234CB">
        <w:t>definition of eligibility to 5 years of service rendered after age 57. Prior to this amendment</w:t>
      </w:r>
      <w:r w:rsidR="0030740F" w:rsidRPr="001234CB">
        <w:t>,</w:t>
      </w:r>
      <w:r w:rsidRPr="001234CB">
        <w:t xml:space="preserve"> benefits were provided to employees who attain age 62 with 5 years of service.</w:t>
      </w:r>
    </w:p>
    <w:p w14:paraId="7D6A2B30" w14:textId="6D07C0C1" w:rsidR="00B208AA" w:rsidRPr="001234CB" w:rsidRDefault="00B208AA" w:rsidP="00B208AA">
      <w:pPr>
        <w:pStyle w:val="ListParagraph"/>
        <w:ind w:left="1440"/>
        <w:rPr>
          <w:rFonts w:eastAsia="Times New Roman" w:cs="Arial"/>
        </w:rPr>
      </w:pPr>
    </w:p>
    <w:p w14:paraId="571AA0D7" w14:textId="51234401" w:rsidR="00A80958" w:rsidRPr="001234CB" w:rsidRDefault="00B208AA" w:rsidP="00FB3600">
      <w:pPr>
        <w:pStyle w:val="ListParagraph"/>
        <w:ind w:left="1440"/>
        <w:rPr>
          <w:rFonts w:eastAsia="Times New Roman" w:cs="Arial"/>
        </w:rPr>
      </w:pPr>
      <w:r w:rsidRPr="001234CB">
        <w:rPr>
          <w:rFonts w:eastAsia="Times New Roman" w:cs="Arial"/>
        </w:rPr>
        <w:t xml:space="preserve">The most significant impact of this </w:t>
      </w:r>
      <w:r w:rsidR="0030740F" w:rsidRPr="001234CB">
        <w:rPr>
          <w:rFonts w:eastAsia="Times New Roman" w:cs="Arial"/>
        </w:rPr>
        <w:t xml:space="preserve">amendment </w:t>
      </w:r>
      <w:r w:rsidRPr="001234CB">
        <w:rPr>
          <w:rFonts w:eastAsia="Times New Roman" w:cs="Arial"/>
        </w:rPr>
        <w:t xml:space="preserve">is the employee’s age that the benefits start accruing. </w:t>
      </w:r>
      <w:r w:rsidR="0030740F" w:rsidRPr="001234CB">
        <w:rPr>
          <w:rFonts w:eastAsia="Times New Roman" w:cs="Arial"/>
        </w:rPr>
        <w:t xml:space="preserve">There are no changes to employee’s benefits. </w:t>
      </w:r>
      <w:r w:rsidRPr="001234CB">
        <w:rPr>
          <w:rFonts w:eastAsia="Times New Roman" w:cs="Arial"/>
        </w:rPr>
        <w:t xml:space="preserve">The dollar impact of the change </w:t>
      </w:r>
      <w:r w:rsidR="00A80958" w:rsidRPr="001234CB">
        <w:rPr>
          <w:rFonts w:eastAsia="Times New Roman" w:cs="Arial"/>
        </w:rPr>
        <w:t>i</w:t>
      </w:r>
      <w:r w:rsidRPr="001234CB">
        <w:rPr>
          <w:rFonts w:eastAsia="Times New Roman" w:cs="Arial"/>
        </w:rPr>
        <w:t xml:space="preserve">s a decrease in the </w:t>
      </w:r>
      <w:r w:rsidR="0030740F" w:rsidRPr="001234CB">
        <w:rPr>
          <w:rFonts w:eastAsia="Times New Roman" w:cs="Arial"/>
        </w:rPr>
        <w:t xml:space="preserve">projected expense of approximately </w:t>
      </w:r>
    </w:p>
    <w:p w14:paraId="26F842A9" w14:textId="0CA9547B" w:rsidR="0030740F" w:rsidRPr="001234CB" w:rsidRDefault="0030740F" w:rsidP="00FB3600">
      <w:pPr>
        <w:pStyle w:val="ListParagraph"/>
        <w:ind w:left="1440"/>
        <w:rPr>
          <w:rFonts w:eastAsia="Times New Roman" w:cs="Arial"/>
        </w:rPr>
      </w:pPr>
      <w:r w:rsidRPr="001234CB">
        <w:rPr>
          <w:rFonts w:eastAsia="Times New Roman" w:cs="Arial"/>
        </w:rPr>
        <w:t>$5 million.</w:t>
      </w:r>
    </w:p>
    <w:p w14:paraId="20B4E9EA" w14:textId="77777777" w:rsidR="0030740F" w:rsidRPr="001234CB" w:rsidRDefault="0030740F" w:rsidP="00FB3600">
      <w:pPr>
        <w:pStyle w:val="ListParagraph"/>
        <w:ind w:left="1440"/>
        <w:rPr>
          <w:rFonts w:eastAsia="Times New Roman" w:cs="Arial"/>
        </w:rPr>
      </w:pPr>
    </w:p>
    <w:p w14:paraId="0F3771B1" w14:textId="77777777" w:rsidR="009A51B9" w:rsidRPr="001234CB" w:rsidRDefault="00A80958" w:rsidP="00FB3600">
      <w:pPr>
        <w:pStyle w:val="ListParagraph"/>
        <w:ind w:left="1440"/>
        <w:rPr>
          <w:rFonts w:eastAsia="Times New Roman" w:cs="Arial"/>
        </w:rPr>
      </w:pPr>
      <w:r w:rsidRPr="001234CB">
        <w:rPr>
          <w:rFonts w:eastAsia="Times New Roman" w:cs="Arial"/>
        </w:rPr>
        <w:t>The above two changes resulted in decreases in the p</w:t>
      </w:r>
      <w:r w:rsidR="00B208AA" w:rsidRPr="001234CB">
        <w:rPr>
          <w:rFonts w:eastAsia="Times New Roman" w:cs="Arial"/>
        </w:rPr>
        <w:t xml:space="preserve">ost-retirement benefit obligation </w:t>
      </w:r>
      <w:r w:rsidR="009A51B9" w:rsidRPr="001234CB">
        <w:rPr>
          <w:rFonts w:eastAsia="Times New Roman" w:cs="Arial"/>
        </w:rPr>
        <w:t>as follows:</w:t>
      </w:r>
    </w:p>
    <w:p w14:paraId="5E3E1693" w14:textId="68709D60" w:rsidR="00B208AA" w:rsidRPr="001234CB" w:rsidRDefault="009A51B9" w:rsidP="009A51B9">
      <w:pPr>
        <w:pStyle w:val="ListParagraph"/>
        <w:ind w:left="1440" w:firstLine="720"/>
        <w:rPr>
          <w:rFonts w:eastAsia="Times New Roman" w:cs="Arial"/>
        </w:rPr>
      </w:pPr>
      <w:r w:rsidRPr="001234CB">
        <w:rPr>
          <w:rFonts w:eastAsia="Times New Roman" w:cs="Arial"/>
        </w:rPr>
        <w:t xml:space="preserve">FY 2018 - </w:t>
      </w:r>
      <w:r w:rsidR="00B208AA" w:rsidRPr="001234CB">
        <w:rPr>
          <w:rFonts w:eastAsia="Times New Roman" w:cs="Arial"/>
        </w:rPr>
        <w:t xml:space="preserve">from $12.3 million to </w:t>
      </w:r>
      <w:r w:rsidR="00FB3600" w:rsidRPr="001234CB">
        <w:rPr>
          <w:rFonts w:eastAsia="Times New Roman" w:cs="Arial"/>
        </w:rPr>
        <w:t>$7.3 million</w:t>
      </w:r>
      <w:r w:rsidR="00A80958" w:rsidRPr="001234CB">
        <w:rPr>
          <w:rFonts w:eastAsia="Times New Roman" w:cs="Arial"/>
        </w:rPr>
        <w:t xml:space="preserve"> </w:t>
      </w:r>
    </w:p>
    <w:p w14:paraId="43525C44" w14:textId="5617D04F" w:rsidR="009A51B9" w:rsidRPr="001234CB" w:rsidRDefault="009A51B9" w:rsidP="009A51B9">
      <w:pPr>
        <w:pStyle w:val="ListParagraph"/>
        <w:ind w:left="1440" w:firstLine="720"/>
        <w:rPr>
          <w:rFonts w:eastAsia="Times New Roman" w:cs="Arial"/>
        </w:rPr>
      </w:pPr>
      <w:r w:rsidRPr="001234CB">
        <w:rPr>
          <w:rFonts w:eastAsia="Times New Roman" w:cs="Arial"/>
        </w:rPr>
        <w:t>FY 2017 – from $22.8 million to $12.3 million</w:t>
      </w:r>
    </w:p>
    <w:p w14:paraId="60664F2F" w14:textId="77777777" w:rsidR="00B208AA" w:rsidRPr="00B21022" w:rsidRDefault="00B208AA" w:rsidP="008B2314">
      <w:pPr>
        <w:pStyle w:val="ListParagraph"/>
        <w:ind w:left="4320" w:hanging="2160"/>
        <w:rPr>
          <w:rFonts w:eastAsia="Times New Roman" w:cs="Arial"/>
          <w:highlight w:val="yellow"/>
        </w:rPr>
      </w:pPr>
    </w:p>
    <w:p w14:paraId="516884CA" w14:textId="77777777" w:rsidR="00FC02DC" w:rsidRPr="001234CB" w:rsidRDefault="008B2314" w:rsidP="00FC02DC">
      <w:pPr>
        <w:ind w:left="720" w:firstLine="720"/>
        <w:rPr>
          <w:rFonts w:eastAsia="Times New Roman" w:cs="Arial"/>
        </w:rPr>
      </w:pPr>
      <w:r w:rsidRPr="001234CB">
        <w:rPr>
          <w:rFonts w:eastAsia="Times New Roman" w:cs="Arial"/>
          <w:b/>
          <w:u w:val="single"/>
        </w:rPr>
        <w:t>Discount Rate</w:t>
      </w:r>
    </w:p>
    <w:p w14:paraId="4F29023A" w14:textId="2819CCB4" w:rsidR="008B2314" w:rsidRPr="001234CB" w:rsidRDefault="00833474" w:rsidP="005A3C3A">
      <w:pPr>
        <w:ind w:left="1440"/>
        <w:rPr>
          <w:rFonts w:eastAsia="Times New Roman" w:cs="Arial"/>
        </w:rPr>
      </w:pPr>
      <w:bookmarkStart w:id="2" w:name="_Hlk527557741"/>
      <w:r w:rsidRPr="00305697">
        <w:rPr>
          <w:rFonts w:eastAsia="Times New Roman" w:cs="Arial"/>
        </w:rPr>
        <w:t xml:space="preserve">The yield curve analysis as of </w:t>
      </w:r>
      <w:r w:rsidR="00637A05" w:rsidRPr="00305697">
        <w:rPr>
          <w:rFonts w:eastAsia="Times New Roman" w:cs="Arial"/>
        </w:rPr>
        <w:t xml:space="preserve">August </w:t>
      </w:r>
      <w:r w:rsidRPr="00305697">
        <w:rPr>
          <w:rFonts w:eastAsia="Times New Roman" w:cs="Arial"/>
        </w:rPr>
        <w:t>31, 20</w:t>
      </w:r>
      <w:r w:rsidR="00305697" w:rsidRPr="00305697">
        <w:rPr>
          <w:rFonts w:eastAsia="Times New Roman" w:cs="Arial"/>
        </w:rPr>
        <w:t>20,</w:t>
      </w:r>
      <w:r w:rsidRPr="00305697">
        <w:rPr>
          <w:rFonts w:eastAsia="Times New Roman" w:cs="Arial"/>
        </w:rPr>
        <w:t xml:space="preserve"> produced a </w:t>
      </w:r>
      <w:bookmarkStart w:id="3" w:name="_Hlk21935107"/>
      <w:r w:rsidR="005A3C3A" w:rsidRPr="00305697">
        <w:rPr>
          <w:rFonts w:eastAsia="Times New Roman" w:cs="Arial"/>
        </w:rPr>
        <w:t>Citigroup Pension D</w:t>
      </w:r>
      <w:r w:rsidRPr="00305697">
        <w:rPr>
          <w:rFonts w:eastAsia="Times New Roman" w:cs="Arial"/>
        </w:rPr>
        <w:t xml:space="preserve">iscount </w:t>
      </w:r>
      <w:r w:rsidR="005A3C3A" w:rsidRPr="00305697">
        <w:rPr>
          <w:rFonts w:eastAsia="Times New Roman" w:cs="Arial"/>
        </w:rPr>
        <w:t xml:space="preserve">Curve </w:t>
      </w:r>
      <w:r w:rsidRPr="00305697">
        <w:rPr>
          <w:rFonts w:eastAsia="Times New Roman" w:cs="Arial"/>
        </w:rPr>
        <w:t xml:space="preserve">of </w:t>
      </w:r>
      <w:r w:rsidR="001234CB" w:rsidRPr="00305697">
        <w:rPr>
          <w:rFonts w:eastAsia="Times New Roman" w:cs="Arial"/>
        </w:rPr>
        <w:t>2</w:t>
      </w:r>
      <w:r w:rsidRPr="00305697">
        <w:rPr>
          <w:rFonts w:eastAsia="Times New Roman" w:cs="Arial"/>
        </w:rPr>
        <w:t>.</w:t>
      </w:r>
      <w:r w:rsidR="00305697" w:rsidRPr="00305697">
        <w:rPr>
          <w:rFonts w:eastAsia="Times New Roman" w:cs="Arial"/>
        </w:rPr>
        <w:t>38</w:t>
      </w:r>
      <w:r w:rsidRPr="00305697">
        <w:rPr>
          <w:rFonts w:eastAsia="Times New Roman" w:cs="Arial"/>
        </w:rPr>
        <w:t>%.</w:t>
      </w:r>
      <w:r w:rsidRPr="005A3C3A">
        <w:rPr>
          <w:rFonts w:eastAsia="Times New Roman" w:cs="Arial"/>
        </w:rPr>
        <w:t xml:space="preserve"> </w:t>
      </w:r>
    </w:p>
    <w:bookmarkEnd w:id="2"/>
    <w:bookmarkEnd w:id="3"/>
    <w:p w14:paraId="734755D7" w14:textId="77777777" w:rsidR="009A248A" w:rsidRPr="005A3C3A" w:rsidRDefault="009A248A" w:rsidP="000D0FB5">
      <w:pPr>
        <w:pStyle w:val="ListParagraph"/>
        <w:ind w:left="4320" w:hanging="2160"/>
        <w:rPr>
          <w:rFonts w:eastAsia="Times New Roman" w:cs="Arial"/>
        </w:rPr>
      </w:pPr>
    </w:p>
    <w:p w14:paraId="6DDCA48A" w14:textId="6E1D27BF" w:rsidR="009D2507" w:rsidRPr="005A3C3A" w:rsidRDefault="00305697" w:rsidP="00FC02DC">
      <w:pPr>
        <w:ind w:left="1440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Following ALA’s practice </w:t>
      </w:r>
      <w:r w:rsidR="005F4DB7">
        <w:rPr>
          <w:rFonts w:eastAsia="Times New Roman" w:cs="Arial"/>
        </w:rPr>
        <w:t>and upon c</w:t>
      </w:r>
      <w:r w:rsidR="00AE5C88" w:rsidRPr="00305697">
        <w:rPr>
          <w:rFonts w:eastAsia="Times New Roman" w:cs="Arial"/>
        </w:rPr>
        <w:t xml:space="preserve">onsultation with ALA’s actuary and independent auditors, management </w:t>
      </w:r>
      <w:r w:rsidR="002E4009">
        <w:rPr>
          <w:rFonts w:eastAsia="Times New Roman" w:cs="Arial"/>
        </w:rPr>
        <w:t xml:space="preserve">is proposing </w:t>
      </w:r>
      <w:r w:rsidR="00AE5C88" w:rsidRPr="00305697">
        <w:rPr>
          <w:rFonts w:eastAsia="Times New Roman" w:cs="Arial"/>
        </w:rPr>
        <w:t xml:space="preserve">a </w:t>
      </w:r>
      <w:r w:rsidR="009D2507" w:rsidRPr="002E4009">
        <w:rPr>
          <w:rFonts w:eastAsia="Times New Roman" w:cs="Arial"/>
        </w:rPr>
        <w:t>3</w:t>
      </w:r>
      <w:r w:rsidR="00AE5C88" w:rsidRPr="002E4009">
        <w:rPr>
          <w:rFonts w:eastAsia="Times New Roman" w:cs="Arial"/>
        </w:rPr>
        <w:t>.</w:t>
      </w:r>
      <w:r w:rsidRPr="002E4009">
        <w:rPr>
          <w:rFonts w:eastAsia="Times New Roman" w:cs="Arial"/>
        </w:rPr>
        <w:t>00</w:t>
      </w:r>
      <w:r w:rsidR="00AE5C88" w:rsidRPr="002E4009">
        <w:rPr>
          <w:rFonts w:eastAsia="Times New Roman" w:cs="Arial"/>
        </w:rPr>
        <w:t>% di</w:t>
      </w:r>
      <w:r w:rsidR="00AE5C88" w:rsidRPr="00305697">
        <w:rPr>
          <w:rFonts w:eastAsia="Times New Roman" w:cs="Arial"/>
        </w:rPr>
        <w:t>scount rate for fiscal year-end calculations.</w:t>
      </w:r>
      <w:r w:rsidR="000D0FB5" w:rsidRPr="005A3C3A">
        <w:rPr>
          <w:rFonts w:eastAsia="Times New Roman" w:cs="Arial"/>
        </w:rPr>
        <w:t xml:space="preserve"> </w:t>
      </w:r>
      <w:r w:rsidR="005F4DB7">
        <w:t>The selection of this rate will minimize the impact of discount rate swings on ALA’s financial statements.</w:t>
      </w:r>
    </w:p>
    <w:p w14:paraId="790A93F4" w14:textId="77777777" w:rsidR="009D2507" w:rsidRDefault="009D2507" w:rsidP="009D2507">
      <w:pPr>
        <w:ind w:left="1440" w:firstLine="720"/>
        <w:rPr>
          <w:rFonts w:eastAsia="Times New Roman" w:cs="Arial"/>
          <w:highlight w:val="yellow"/>
        </w:rPr>
      </w:pPr>
    </w:p>
    <w:p w14:paraId="562B3DBD" w14:textId="5FD6F44A" w:rsidR="009D2507" w:rsidRDefault="00E54B47" w:rsidP="009D2507">
      <w:pPr>
        <w:ind w:left="1440" w:firstLine="720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>Recap</w:t>
      </w:r>
      <w:r w:rsidRPr="00E54B47">
        <w:rPr>
          <w:rFonts w:eastAsia="Times New Roman" w:cs="Arial"/>
        </w:rPr>
        <w:tab/>
      </w:r>
      <w:r w:rsidRPr="00E54B47">
        <w:rPr>
          <w:rFonts w:eastAsia="Times New Roman" w:cs="Arial"/>
        </w:rPr>
        <w:tab/>
      </w:r>
      <w:r w:rsidR="009D2507" w:rsidRPr="009D2507">
        <w:rPr>
          <w:rFonts w:eastAsia="Times New Roman" w:cs="Arial"/>
          <w:u w:val="single"/>
        </w:rPr>
        <w:t>Rate</w:t>
      </w:r>
      <w:r w:rsidR="00CD76A8">
        <w:rPr>
          <w:rFonts w:eastAsia="Times New Roman" w:cs="Arial"/>
        </w:rPr>
        <w:tab/>
      </w:r>
      <w:r w:rsidR="00CD76A8">
        <w:rPr>
          <w:rFonts w:eastAsia="Times New Roman" w:cs="Arial"/>
        </w:rPr>
        <w:tab/>
      </w:r>
      <w:r w:rsidR="00CD76A8" w:rsidRPr="00CD76A8">
        <w:rPr>
          <w:rFonts w:eastAsia="Times New Roman" w:cs="Arial"/>
          <w:u w:val="single"/>
        </w:rPr>
        <w:t>Liability</w:t>
      </w:r>
    </w:p>
    <w:p w14:paraId="0319FFCE" w14:textId="385570D2" w:rsidR="00780632" w:rsidRDefault="00780632" w:rsidP="009D2507">
      <w:pPr>
        <w:ind w:left="1440" w:firstLine="720"/>
        <w:rPr>
          <w:rFonts w:eastAsia="Times New Roman" w:cs="Arial"/>
        </w:rPr>
      </w:pPr>
      <w:r>
        <w:rPr>
          <w:rFonts w:eastAsia="Times New Roman" w:cs="Arial"/>
        </w:rPr>
        <w:t>FY 2020</w:t>
      </w:r>
      <w:r>
        <w:rPr>
          <w:rFonts w:eastAsia="Times New Roman" w:cs="Arial"/>
        </w:rPr>
        <w:tab/>
      </w:r>
      <w:r w:rsidR="00305697" w:rsidRPr="002E4009">
        <w:rPr>
          <w:rFonts w:eastAsia="Times New Roman" w:cs="Arial"/>
        </w:rPr>
        <w:t>3</w:t>
      </w:r>
      <w:r w:rsidRPr="002E4009">
        <w:rPr>
          <w:rFonts w:eastAsia="Times New Roman" w:cs="Arial"/>
        </w:rPr>
        <w:t>.</w:t>
      </w:r>
      <w:r w:rsidR="00305697" w:rsidRPr="002E4009">
        <w:rPr>
          <w:rFonts w:eastAsia="Times New Roman" w:cs="Arial"/>
        </w:rPr>
        <w:t>00</w:t>
      </w:r>
      <w:r w:rsidRPr="002E4009">
        <w:rPr>
          <w:rFonts w:eastAsia="Times New Roman" w:cs="Arial"/>
        </w:rPr>
        <w:t>%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TBD</w:t>
      </w:r>
    </w:p>
    <w:p w14:paraId="5466B205" w14:textId="366CB2F4" w:rsidR="00E54B47" w:rsidRPr="00E54B47" w:rsidRDefault="00E54B47" w:rsidP="009D2507">
      <w:pPr>
        <w:ind w:left="1440" w:firstLine="720"/>
        <w:rPr>
          <w:rFonts w:eastAsia="Times New Roman" w:cs="Arial"/>
        </w:rPr>
      </w:pPr>
      <w:r w:rsidRPr="00E54B47">
        <w:rPr>
          <w:rFonts w:eastAsia="Times New Roman" w:cs="Arial"/>
        </w:rPr>
        <w:t>FY 2019</w:t>
      </w:r>
      <w:r>
        <w:rPr>
          <w:rFonts w:eastAsia="Times New Roman" w:cs="Arial"/>
        </w:rPr>
        <w:tab/>
      </w:r>
      <w:r w:rsidR="008551A2">
        <w:rPr>
          <w:rFonts w:eastAsia="Times New Roman" w:cs="Arial"/>
        </w:rPr>
        <w:t>3.25%</w:t>
      </w:r>
      <w:r w:rsidR="008551A2">
        <w:rPr>
          <w:rFonts w:eastAsia="Times New Roman" w:cs="Arial"/>
        </w:rPr>
        <w:tab/>
      </w:r>
      <w:r w:rsidR="008551A2">
        <w:rPr>
          <w:rFonts w:eastAsia="Times New Roman" w:cs="Arial"/>
        </w:rPr>
        <w:tab/>
        <w:t>$   9,615,300</w:t>
      </w:r>
    </w:p>
    <w:p w14:paraId="35B47C09" w14:textId="519AD540" w:rsidR="00A172BA" w:rsidRPr="00A172BA" w:rsidRDefault="00A172BA" w:rsidP="009D2507">
      <w:pPr>
        <w:ind w:left="1440" w:firstLine="720"/>
        <w:rPr>
          <w:rFonts w:eastAsia="Times New Roman" w:cs="Arial"/>
          <w:highlight w:val="yellow"/>
        </w:rPr>
      </w:pPr>
      <w:r w:rsidRPr="00A172BA">
        <w:rPr>
          <w:rFonts w:eastAsia="Times New Roman" w:cs="Arial"/>
        </w:rPr>
        <w:t xml:space="preserve">FY 2018 </w:t>
      </w:r>
      <w:r w:rsidR="00E54B47">
        <w:rPr>
          <w:rFonts w:eastAsia="Times New Roman" w:cs="Arial"/>
        </w:rPr>
        <w:tab/>
      </w:r>
      <w:r w:rsidRPr="00A172BA">
        <w:rPr>
          <w:rFonts w:eastAsia="Times New Roman" w:cs="Arial"/>
        </w:rPr>
        <w:t>4.25%</w:t>
      </w:r>
      <w:r w:rsidR="00CD76A8">
        <w:rPr>
          <w:rFonts w:eastAsia="Times New Roman" w:cs="Arial"/>
        </w:rPr>
        <w:tab/>
      </w:r>
      <w:r w:rsidR="00CD76A8">
        <w:rPr>
          <w:rFonts w:eastAsia="Times New Roman" w:cs="Arial"/>
        </w:rPr>
        <w:tab/>
      </w:r>
      <w:r w:rsidR="00CD76A8" w:rsidRPr="00CD76A8">
        <w:rPr>
          <w:rFonts w:eastAsia="Times New Roman" w:cs="Arial"/>
        </w:rPr>
        <w:t xml:space="preserve">$   7,305,786 </w:t>
      </w:r>
    </w:p>
    <w:p w14:paraId="12B51318" w14:textId="7F84BE2D" w:rsidR="00AE5C88" w:rsidRPr="00A172BA" w:rsidRDefault="000D0FB5" w:rsidP="009D2507">
      <w:pPr>
        <w:ind w:left="1440" w:firstLine="720"/>
        <w:rPr>
          <w:rFonts w:eastAsia="Times New Roman" w:cs="Arial"/>
        </w:rPr>
      </w:pPr>
      <w:r w:rsidRPr="00A172BA">
        <w:rPr>
          <w:rFonts w:eastAsia="Times New Roman" w:cs="Arial"/>
        </w:rPr>
        <w:t>FY 201</w:t>
      </w:r>
      <w:r w:rsidR="004C4D43" w:rsidRPr="00A172BA">
        <w:rPr>
          <w:rFonts w:eastAsia="Times New Roman" w:cs="Arial"/>
        </w:rPr>
        <w:t>7</w:t>
      </w:r>
      <w:r w:rsidRPr="00A172BA">
        <w:rPr>
          <w:rFonts w:eastAsia="Times New Roman" w:cs="Arial"/>
        </w:rPr>
        <w:t xml:space="preserve"> </w:t>
      </w:r>
      <w:r w:rsidR="00E54B47">
        <w:rPr>
          <w:rFonts w:eastAsia="Times New Roman" w:cs="Arial"/>
        </w:rPr>
        <w:tab/>
      </w:r>
      <w:r w:rsidR="009D2507" w:rsidRPr="00A172BA">
        <w:rPr>
          <w:rFonts w:eastAsia="Times New Roman" w:cs="Arial"/>
        </w:rPr>
        <w:t>4.25</w:t>
      </w:r>
      <w:r w:rsidR="001E67FD" w:rsidRPr="00A172BA">
        <w:rPr>
          <w:rFonts w:eastAsia="Times New Roman" w:cs="Arial"/>
        </w:rPr>
        <w:t xml:space="preserve">% </w:t>
      </w:r>
      <w:r w:rsidR="001E67FD" w:rsidRPr="00A172BA">
        <w:rPr>
          <w:rFonts w:eastAsia="Times New Roman" w:cs="Arial"/>
        </w:rPr>
        <w:tab/>
      </w:r>
      <w:r w:rsidR="00CD76A8">
        <w:rPr>
          <w:rFonts w:eastAsia="Times New Roman" w:cs="Arial"/>
        </w:rPr>
        <w:tab/>
      </w:r>
      <w:r w:rsidR="001E67FD" w:rsidRPr="00CD76A8">
        <w:rPr>
          <w:rFonts w:eastAsia="Times New Roman" w:cs="Arial"/>
        </w:rPr>
        <w:t>$ 12,266,478</w:t>
      </w:r>
    </w:p>
    <w:p w14:paraId="679E7605" w14:textId="417FA148" w:rsidR="005A1E8F" w:rsidRPr="00A172BA" w:rsidRDefault="005A1E8F" w:rsidP="009D2507">
      <w:pPr>
        <w:ind w:left="1440" w:firstLine="720"/>
        <w:rPr>
          <w:rFonts w:eastAsia="Times New Roman" w:cs="Arial"/>
        </w:rPr>
      </w:pPr>
      <w:r w:rsidRPr="00A172BA">
        <w:rPr>
          <w:rFonts w:eastAsia="Times New Roman" w:cs="Arial"/>
        </w:rPr>
        <w:t xml:space="preserve">FY 2016 </w:t>
      </w:r>
      <w:r w:rsidR="00E54B47">
        <w:rPr>
          <w:rFonts w:eastAsia="Times New Roman" w:cs="Arial"/>
        </w:rPr>
        <w:tab/>
      </w:r>
      <w:r w:rsidR="00A172BA" w:rsidRPr="00A172BA">
        <w:rPr>
          <w:rFonts w:eastAsia="Times New Roman" w:cs="Arial"/>
        </w:rPr>
        <w:t>4.5</w:t>
      </w:r>
      <w:r w:rsidR="00E54B47">
        <w:rPr>
          <w:rFonts w:eastAsia="Times New Roman" w:cs="Arial"/>
        </w:rPr>
        <w:t>0</w:t>
      </w:r>
      <w:r w:rsidR="00A172BA" w:rsidRPr="00A172BA">
        <w:rPr>
          <w:rFonts w:eastAsia="Times New Roman" w:cs="Arial"/>
        </w:rPr>
        <w:t>%</w:t>
      </w:r>
      <w:r w:rsidR="00CD76A8">
        <w:rPr>
          <w:rFonts w:eastAsia="Times New Roman" w:cs="Arial"/>
        </w:rPr>
        <w:tab/>
      </w:r>
      <w:r w:rsidR="00CD76A8">
        <w:rPr>
          <w:rFonts w:eastAsia="Times New Roman" w:cs="Arial"/>
        </w:rPr>
        <w:tab/>
      </w:r>
      <w:r w:rsidR="001E67FD" w:rsidRPr="00CD76A8">
        <w:rPr>
          <w:rFonts w:eastAsia="Times New Roman" w:cs="Arial"/>
        </w:rPr>
        <w:t>$ 22,829,193</w:t>
      </w:r>
      <w:r w:rsidR="00CD76A8" w:rsidRPr="00CD76A8">
        <w:rPr>
          <w:rFonts w:eastAsia="Times New Roman" w:cs="Arial"/>
        </w:rPr>
        <w:t xml:space="preserve">  </w:t>
      </w:r>
    </w:p>
    <w:p w14:paraId="5647C839" w14:textId="37DA6D2B" w:rsidR="00A172BA" w:rsidRPr="00A172BA" w:rsidRDefault="00A172BA" w:rsidP="009D2507">
      <w:pPr>
        <w:ind w:left="1440" w:firstLine="720"/>
        <w:rPr>
          <w:rFonts w:eastAsia="Times New Roman" w:cs="Arial"/>
        </w:rPr>
      </w:pPr>
      <w:r w:rsidRPr="00A172BA">
        <w:rPr>
          <w:rFonts w:eastAsia="Times New Roman" w:cs="Arial"/>
        </w:rPr>
        <w:t xml:space="preserve">FY 2015 </w:t>
      </w:r>
      <w:r w:rsidR="00E54B47">
        <w:rPr>
          <w:rFonts w:eastAsia="Times New Roman" w:cs="Arial"/>
        </w:rPr>
        <w:tab/>
      </w:r>
      <w:r w:rsidRPr="00A172BA">
        <w:rPr>
          <w:rFonts w:eastAsia="Times New Roman" w:cs="Arial"/>
        </w:rPr>
        <w:t>5</w:t>
      </w:r>
      <w:r w:rsidR="00E54B47">
        <w:rPr>
          <w:rFonts w:eastAsia="Times New Roman" w:cs="Arial"/>
        </w:rPr>
        <w:t>.00</w:t>
      </w:r>
      <w:r w:rsidRPr="00A172BA">
        <w:rPr>
          <w:rFonts w:eastAsia="Times New Roman" w:cs="Arial"/>
        </w:rPr>
        <w:t>%</w:t>
      </w:r>
      <w:r w:rsidR="00CD76A8">
        <w:rPr>
          <w:rFonts w:eastAsia="Times New Roman" w:cs="Arial"/>
        </w:rPr>
        <w:tab/>
      </w:r>
      <w:r w:rsidR="00CD76A8">
        <w:rPr>
          <w:rFonts w:eastAsia="Times New Roman" w:cs="Arial"/>
        </w:rPr>
        <w:tab/>
      </w:r>
      <w:r w:rsidR="001E67FD" w:rsidRPr="00CD76A8">
        <w:rPr>
          <w:rFonts w:eastAsia="Times New Roman" w:cs="Arial"/>
        </w:rPr>
        <w:t>$ 21,816,282</w:t>
      </w:r>
    </w:p>
    <w:p w14:paraId="3D3488F2" w14:textId="77777777" w:rsidR="00404804" w:rsidRPr="00A20A2E" w:rsidRDefault="00404804" w:rsidP="00AE5C88">
      <w:pPr>
        <w:pStyle w:val="ListParagraph"/>
        <w:ind w:left="2160"/>
        <w:rPr>
          <w:rFonts w:eastAsia="Times New Roman" w:cs="Arial"/>
        </w:rPr>
      </w:pPr>
    </w:p>
    <w:p w14:paraId="5696ED91" w14:textId="712F0061" w:rsidR="00324477" w:rsidRPr="00A20A2E" w:rsidRDefault="00324477" w:rsidP="00324477">
      <w:r w:rsidRPr="00A20A2E">
        <w:t>Form 990, Form 990-T and other filings for the fiscal year ended August 31, 201</w:t>
      </w:r>
      <w:r w:rsidR="00532E89">
        <w:t>9</w:t>
      </w:r>
    </w:p>
    <w:p w14:paraId="7724B5E7" w14:textId="77777777" w:rsidR="00324477" w:rsidRPr="00A20A2E" w:rsidRDefault="00324477" w:rsidP="00324477">
      <w:pPr>
        <w:pStyle w:val="ListParagraph"/>
        <w:numPr>
          <w:ilvl w:val="0"/>
          <w:numId w:val="32"/>
        </w:numPr>
      </w:pPr>
      <w:r w:rsidRPr="00A20A2E">
        <w:t xml:space="preserve">ALA’s </w:t>
      </w:r>
      <w:r w:rsidR="009A248A" w:rsidRPr="00A20A2E">
        <w:t>filings</w:t>
      </w:r>
      <w:r w:rsidRPr="00A20A2E">
        <w:t xml:space="preserve"> </w:t>
      </w:r>
    </w:p>
    <w:p w14:paraId="56636424" w14:textId="6E1E7708" w:rsidR="00324477" w:rsidRPr="00A20A2E" w:rsidRDefault="00324477" w:rsidP="00324477">
      <w:pPr>
        <w:pStyle w:val="ListParagraph"/>
        <w:numPr>
          <w:ilvl w:val="0"/>
          <w:numId w:val="36"/>
        </w:numPr>
      </w:pPr>
      <w:r w:rsidRPr="00A20A2E">
        <w:t xml:space="preserve">ALA’s federal Form 990 was filed </w:t>
      </w:r>
      <w:r w:rsidR="001A7D5C" w:rsidRPr="00A20A2E">
        <w:t xml:space="preserve">electronically </w:t>
      </w:r>
      <w:r w:rsidRPr="00A20A2E">
        <w:t xml:space="preserve">with the Internal Revenue Service on </w:t>
      </w:r>
      <w:r w:rsidRPr="00040BF5">
        <w:t>Ju</w:t>
      </w:r>
      <w:r w:rsidR="002627AB" w:rsidRPr="00040BF5">
        <w:t>ly</w:t>
      </w:r>
      <w:r w:rsidRPr="00040BF5">
        <w:t xml:space="preserve"> </w:t>
      </w:r>
      <w:r w:rsidR="00040BF5" w:rsidRPr="00040BF5">
        <w:t>10</w:t>
      </w:r>
      <w:r w:rsidRPr="00040BF5">
        <w:t>, 20</w:t>
      </w:r>
      <w:r w:rsidR="00040BF5" w:rsidRPr="00040BF5">
        <w:t>20</w:t>
      </w:r>
      <w:r w:rsidRPr="00040BF5">
        <w:t>.</w:t>
      </w:r>
      <w:r w:rsidRPr="00A20A2E">
        <w:t xml:space="preserve"> Prior to filing, the form was distributed to the Executive Board. </w:t>
      </w:r>
      <w:r w:rsidRPr="00B21022">
        <w:rPr>
          <w:highlight w:val="yellow"/>
        </w:rPr>
        <w:t xml:space="preserve"> </w:t>
      </w:r>
    </w:p>
    <w:p w14:paraId="3E05916B" w14:textId="3BB0722B" w:rsidR="00324477" w:rsidRPr="00A20A2E" w:rsidRDefault="00324477" w:rsidP="00410D56">
      <w:pPr>
        <w:pStyle w:val="ListParagraph"/>
        <w:numPr>
          <w:ilvl w:val="0"/>
          <w:numId w:val="36"/>
        </w:numPr>
      </w:pPr>
      <w:r w:rsidRPr="00A20A2E">
        <w:t xml:space="preserve">ALA’s </w:t>
      </w:r>
      <w:r w:rsidR="008E3942" w:rsidRPr="00A20A2E">
        <w:t xml:space="preserve">federal </w:t>
      </w:r>
      <w:r w:rsidRPr="00A20A2E">
        <w:t>Form 990-T was filed with the Internal Revenue Service on Ju</w:t>
      </w:r>
      <w:r w:rsidR="00A20A2E" w:rsidRPr="00A20A2E">
        <w:t>ly</w:t>
      </w:r>
      <w:r w:rsidRPr="00A20A2E">
        <w:t xml:space="preserve"> </w:t>
      </w:r>
      <w:r w:rsidR="00A20A2E" w:rsidRPr="00A20A2E">
        <w:t>1</w:t>
      </w:r>
      <w:r w:rsidR="003E0FC1">
        <w:t>3</w:t>
      </w:r>
      <w:r w:rsidRPr="00A20A2E">
        <w:t>, 20</w:t>
      </w:r>
      <w:r w:rsidR="003E0FC1">
        <w:t>20</w:t>
      </w:r>
      <w:r w:rsidRPr="00A20A2E">
        <w:t xml:space="preserve"> with </w:t>
      </w:r>
      <w:r w:rsidR="001A7D5C" w:rsidRPr="00A20A2E">
        <w:t xml:space="preserve">no </w:t>
      </w:r>
      <w:r w:rsidRPr="00A20A2E">
        <w:t>tax due.</w:t>
      </w:r>
    </w:p>
    <w:p w14:paraId="76A895A0" w14:textId="3F1BCAE2" w:rsidR="00410D56" w:rsidRPr="00E21E7C" w:rsidRDefault="00324477" w:rsidP="00410D56">
      <w:pPr>
        <w:pStyle w:val="ListParagraph"/>
        <w:numPr>
          <w:ilvl w:val="0"/>
          <w:numId w:val="36"/>
        </w:numPr>
      </w:pPr>
      <w:r w:rsidRPr="00A20A2E">
        <w:t xml:space="preserve">ALA’s </w:t>
      </w:r>
      <w:r w:rsidR="008E3942" w:rsidRPr="00A20A2E">
        <w:t xml:space="preserve">state </w:t>
      </w:r>
      <w:r w:rsidRPr="00A20A2E">
        <w:t xml:space="preserve">Form IL-990-T was filed with the Illinois Department of </w:t>
      </w:r>
      <w:r w:rsidRPr="008766AC">
        <w:t>Revenue o</w:t>
      </w:r>
      <w:r w:rsidRPr="00DE6D7D">
        <w:t xml:space="preserve">n </w:t>
      </w:r>
      <w:r w:rsidR="00A20A2E" w:rsidRPr="00DE6D7D">
        <w:t xml:space="preserve">August </w:t>
      </w:r>
      <w:r w:rsidR="00DE6D7D" w:rsidRPr="00DE6D7D">
        <w:t>5</w:t>
      </w:r>
      <w:r w:rsidR="00A20A2E" w:rsidRPr="00DE6D7D">
        <w:t>, 20</w:t>
      </w:r>
      <w:r w:rsidR="00DE6D7D" w:rsidRPr="00DE6D7D">
        <w:t>20</w:t>
      </w:r>
      <w:r w:rsidR="00A20A2E" w:rsidRPr="008766AC">
        <w:t xml:space="preserve"> </w:t>
      </w:r>
      <w:r w:rsidRPr="008766AC">
        <w:t xml:space="preserve">with </w:t>
      </w:r>
      <w:r w:rsidR="00B416BE" w:rsidRPr="00E21E7C">
        <w:t xml:space="preserve">no </w:t>
      </w:r>
      <w:r w:rsidRPr="00E21E7C">
        <w:t>tax due</w:t>
      </w:r>
      <w:r w:rsidR="00410D56" w:rsidRPr="00E21E7C">
        <w:t>.</w:t>
      </w:r>
    </w:p>
    <w:p w14:paraId="3C812093" w14:textId="2E0C60DA" w:rsidR="00324477" w:rsidRPr="00E21E7C" w:rsidRDefault="00324477" w:rsidP="00410D56">
      <w:pPr>
        <w:pStyle w:val="ListParagraph"/>
        <w:numPr>
          <w:ilvl w:val="0"/>
          <w:numId w:val="36"/>
        </w:numPr>
      </w:pPr>
      <w:r w:rsidRPr="00E21E7C">
        <w:t>ALA</w:t>
      </w:r>
      <w:r w:rsidR="00410D56" w:rsidRPr="00E21E7C">
        <w:t>’s</w:t>
      </w:r>
      <w:r w:rsidRPr="00E21E7C">
        <w:t xml:space="preserve"> </w:t>
      </w:r>
      <w:r w:rsidR="008E3942" w:rsidRPr="00E21E7C">
        <w:t xml:space="preserve">state </w:t>
      </w:r>
      <w:r w:rsidRPr="00E21E7C">
        <w:t xml:space="preserve">Form AG990-IL </w:t>
      </w:r>
      <w:r w:rsidR="00410D56" w:rsidRPr="00E21E7C">
        <w:t xml:space="preserve">was filed with the Illinois Attorney General’s Office on </w:t>
      </w:r>
      <w:r w:rsidR="00586953" w:rsidRPr="00E21E7C">
        <w:t xml:space="preserve">July </w:t>
      </w:r>
      <w:r w:rsidR="00A20A2E" w:rsidRPr="00E21E7C">
        <w:t>1</w:t>
      </w:r>
      <w:r w:rsidR="00E21E7C" w:rsidRPr="00E21E7C">
        <w:t>0</w:t>
      </w:r>
      <w:r w:rsidRPr="00E21E7C">
        <w:t>, 20</w:t>
      </w:r>
      <w:r w:rsidR="00E21E7C" w:rsidRPr="00E21E7C">
        <w:t>20</w:t>
      </w:r>
      <w:r w:rsidR="00410D56" w:rsidRPr="00E21E7C">
        <w:t>.</w:t>
      </w:r>
    </w:p>
    <w:p w14:paraId="40CB6E36" w14:textId="37DA4383" w:rsidR="00324477" w:rsidRPr="008766AC" w:rsidRDefault="00324477" w:rsidP="00410D56">
      <w:pPr>
        <w:pStyle w:val="ListParagraph"/>
        <w:numPr>
          <w:ilvl w:val="0"/>
          <w:numId w:val="36"/>
        </w:numPr>
      </w:pPr>
      <w:r w:rsidRPr="008766AC">
        <w:t>ALA</w:t>
      </w:r>
      <w:r w:rsidR="00410D56" w:rsidRPr="008766AC">
        <w:t xml:space="preserve">’s </w:t>
      </w:r>
      <w:r w:rsidR="008E3942" w:rsidRPr="008766AC">
        <w:t xml:space="preserve">state </w:t>
      </w:r>
      <w:r w:rsidRPr="008766AC">
        <w:t xml:space="preserve">Form PC </w:t>
      </w:r>
      <w:r w:rsidR="00410D56" w:rsidRPr="008766AC">
        <w:t xml:space="preserve">was filed with the </w:t>
      </w:r>
      <w:r w:rsidRPr="008766AC">
        <w:t>Massachusetts</w:t>
      </w:r>
      <w:r w:rsidR="00410D56" w:rsidRPr="008766AC">
        <w:t xml:space="preserve"> Attorney General’s Office o</w:t>
      </w:r>
      <w:r w:rsidR="00410D56" w:rsidRPr="00E21E7C">
        <w:t xml:space="preserve">n </w:t>
      </w:r>
      <w:r w:rsidR="00B416BE" w:rsidRPr="00E21E7C">
        <w:t xml:space="preserve">July </w:t>
      </w:r>
      <w:r w:rsidR="00981E5C" w:rsidRPr="00E21E7C">
        <w:t>1</w:t>
      </w:r>
      <w:r w:rsidR="00E21E7C" w:rsidRPr="00E21E7C">
        <w:t>0</w:t>
      </w:r>
      <w:r w:rsidRPr="00E21E7C">
        <w:t>, 20</w:t>
      </w:r>
      <w:r w:rsidR="00E21E7C" w:rsidRPr="00E21E7C">
        <w:t>20</w:t>
      </w:r>
      <w:r w:rsidR="00410D56" w:rsidRPr="00E21E7C">
        <w:t>.</w:t>
      </w:r>
    </w:p>
    <w:p w14:paraId="574FDA0B" w14:textId="77777777" w:rsidR="00324477" w:rsidRPr="00B21022" w:rsidRDefault="00324477" w:rsidP="00324477">
      <w:pPr>
        <w:ind w:left="1440" w:hanging="1440"/>
        <w:rPr>
          <w:highlight w:val="yellow"/>
        </w:rPr>
      </w:pPr>
    </w:p>
    <w:p w14:paraId="2D6CBC54" w14:textId="77777777" w:rsidR="0054532E" w:rsidRPr="004408FC" w:rsidRDefault="00324477" w:rsidP="00410D56">
      <w:pPr>
        <w:pStyle w:val="ListParagraph"/>
        <w:numPr>
          <w:ilvl w:val="0"/>
          <w:numId w:val="32"/>
        </w:numPr>
      </w:pPr>
      <w:r w:rsidRPr="004408FC">
        <w:t>ALA-APA</w:t>
      </w:r>
      <w:r w:rsidR="00410D56" w:rsidRPr="004408FC">
        <w:t>’s</w:t>
      </w:r>
      <w:r w:rsidRPr="004408FC">
        <w:t xml:space="preserve"> </w:t>
      </w:r>
      <w:r w:rsidR="008E3942" w:rsidRPr="004408FC">
        <w:t xml:space="preserve">federal </w:t>
      </w:r>
      <w:r w:rsidRPr="004408FC">
        <w:t xml:space="preserve">Form 990-EZ </w:t>
      </w:r>
      <w:r w:rsidR="00410D56" w:rsidRPr="004408FC">
        <w:t xml:space="preserve">was filed with the Internal Revenue Service </w:t>
      </w:r>
      <w:r w:rsidRPr="004408FC">
        <w:t xml:space="preserve">on </w:t>
      </w:r>
    </w:p>
    <w:p w14:paraId="3F819E4F" w14:textId="1CE9F87C" w:rsidR="00324477" w:rsidRPr="004408FC" w:rsidRDefault="00324477" w:rsidP="0054532E">
      <w:pPr>
        <w:pStyle w:val="ListParagraph"/>
        <w:ind w:left="1440"/>
      </w:pPr>
      <w:r w:rsidRPr="004408FC">
        <w:t>J</w:t>
      </w:r>
      <w:r w:rsidR="002D2084" w:rsidRPr="004408FC">
        <w:t>u</w:t>
      </w:r>
      <w:r w:rsidR="00FC02DC" w:rsidRPr="004408FC">
        <w:t>ly</w:t>
      </w:r>
      <w:r w:rsidR="002D2084" w:rsidRPr="004408FC">
        <w:t xml:space="preserve"> </w:t>
      </w:r>
      <w:r w:rsidR="005E0264">
        <w:t>13</w:t>
      </w:r>
      <w:r w:rsidRPr="004408FC">
        <w:t>, 20</w:t>
      </w:r>
      <w:r w:rsidR="005E0264">
        <w:t>20</w:t>
      </w:r>
      <w:r w:rsidR="00410D56" w:rsidRPr="004408FC">
        <w:t>.</w:t>
      </w:r>
    </w:p>
    <w:p w14:paraId="6AA31496" w14:textId="77777777" w:rsidR="0089485C" w:rsidRPr="00EB16AD" w:rsidRDefault="0089485C" w:rsidP="00CC37D6">
      <w:pPr>
        <w:rPr>
          <w:rFonts w:eastAsia="Times New Roman" w:cs="Arial"/>
        </w:rPr>
      </w:pPr>
    </w:p>
    <w:p w14:paraId="0FC62275" w14:textId="77777777" w:rsidR="00EB16AD" w:rsidRDefault="00280926" w:rsidP="00EB16AD">
      <w:pPr>
        <w:pStyle w:val="ListParagraph"/>
        <w:numPr>
          <w:ilvl w:val="0"/>
          <w:numId w:val="32"/>
        </w:numPr>
      </w:pPr>
      <w:r w:rsidRPr="00EB16AD">
        <w:t xml:space="preserve">Margaret Alexander Edwards Trust filings </w:t>
      </w:r>
    </w:p>
    <w:p w14:paraId="32199B79" w14:textId="4BECB23D" w:rsidR="0074659A" w:rsidRPr="00A528B4" w:rsidRDefault="00280926" w:rsidP="0074659A">
      <w:pPr>
        <w:pStyle w:val="ListParagraph"/>
        <w:numPr>
          <w:ilvl w:val="2"/>
          <w:numId w:val="32"/>
        </w:numPr>
      </w:pPr>
      <w:r w:rsidRPr="00EB16AD">
        <w:t xml:space="preserve">Federal Form 990-PF was filed electronically with the Internal </w:t>
      </w:r>
      <w:r w:rsidRPr="00A528B4">
        <w:t xml:space="preserve">Revenue Service on </w:t>
      </w:r>
      <w:r w:rsidR="00C4731F" w:rsidRPr="00A528B4">
        <w:t>September 29, 2020</w:t>
      </w:r>
      <w:r w:rsidRPr="00A528B4">
        <w:t xml:space="preserve">.   </w:t>
      </w:r>
    </w:p>
    <w:p w14:paraId="0AF65707" w14:textId="1EFAA538" w:rsidR="00280926" w:rsidRPr="00A528B4" w:rsidRDefault="00280926" w:rsidP="0074659A">
      <w:pPr>
        <w:pStyle w:val="ListParagraph"/>
        <w:numPr>
          <w:ilvl w:val="2"/>
          <w:numId w:val="32"/>
        </w:numPr>
      </w:pPr>
      <w:r w:rsidRPr="00A528B4">
        <w:t>State Form AG990-IL w</w:t>
      </w:r>
      <w:r w:rsidR="00A528B4" w:rsidRPr="00A528B4">
        <w:t xml:space="preserve">ill be </w:t>
      </w:r>
      <w:r w:rsidRPr="00A528B4">
        <w:t xml:space="preserve">filed with the Illinois Attorney General’s Office on </w:t>
      </w:r>
      <w:r w:rsidR="00A528B4" w:rsidRPr="00A528B4">
        <w:t xml:space="preserve">or before November 16, 2020. </w:t>
      </w:r>
    </w:p>
    <w:p w14:paraId="5156288B" w14:textId="77777777" w:rsidR="0070525B" w:rsidRPr="00B21022" w:rsidRDefault="0070525B" w:rsidP="0070525B">
      <w:pPr>
        <w:ind w:left="2520"/>
        <w:rPr>
          <w:rFonts w:eastAsia="Times New Roman" w:cs="Arial"/>
          <w:highlight w:val="yellow"/>
        </w:rPr>
      </w:pPr>
    </w:p>
    <w:p w14:paraId="149D1180" w14:textId="6D7FDCF1" w:rsidR="00A460A0" w:rsidRDefault="00A460A0" w:rsidP="00A460A0">
      <w:pPr>
        <w:rPr>
          <w:rFonts w:cs="Arial"/>
        </w:rPr>
      </w:pPr>
      <w:r w:rsidRPr="00A460A0">
        <w:rPr>
          <w:rFonts w:cs="Arial"/>
        </w:rPr>
        <w:t>New audit reporting requirements</w:t>
      </w:r>
      <w:r>
        <w:rPr>
          <w:rFonts w:cs="Arial"/>
        </w:rPr>
        <w:t xml:space="preserve"> for fiscal year 20</w:t>
      </w:r>
      <w:r w:rsidR="00C4731F">
        <w:rPr>
          <w:rFonts w:cs="Arial"/>
        </w:rPr>
        <w:t>20</w:t>
      </w:r>
    </w:p>
    <w:p w14:paraId="2B8CDE10" w14:textId="1AEE1B38" w:rsidR="00A460A0" w:rsidRPr="00A528B4" w:rsidRDefault="00C4731F" w:rsidP="00A460A0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>R</w:t>
      </w:r>
      <w:r w:rsidRPr="00A528B4">
        <w:rPr>
          <w:rFonts w:cs="Arial"/>
        </w:rPr>
        <w:t>evenue Recognition</w:t>
      </w:r>
    </w:p>
    <w:p w14:paraId="5D32E332" w14:textId="0EA8AD61" w:rsidR="00A460A0" w:rsidRPr="00A528B4" w:rsidRDefault="00C4731F" w:rsidP="00C4731F">
      <w:pPr>
        <w:pStyle w:val="ListParagraph"/>
        <w:numPr>
          <w:ilvl w:val="1"/>
          <w:numId w:val="32"/>
        </w:numPr>
        <w:rPr>
          <w:rFonts w:cs="Arial"/>
        </w:rPr>
      </w:pPr>
      <w:r w:rsidRPr="00A528B4">
        <w:rPr>
          <w:rFonts w:cs="Arial"/>
        </w:rPr>
        <w:t xml:space="preserve">Grants </w:t>
      </w:r>
    </w:p>
    <w:p w14:paraId="030FD6E3" w14:textId="77777777" w:rsidR="00A460A0" w:rsidRPr="00A460A0" w:rsidRDefault="00A460A0" w:rsidP="00A460A0">
      <w:pPr>
        <w:rPr>
          <w:rFonts w:cs="Arial"/>
        </w:rPr>
      </w:pPr>
    </w:p>
    <w:p w14:paraId="32377555" w14:textId="77777777" w:rsidR="00A460A0" w:rsidRPr="00E22D2E" w:rsidRDefault="00A460A0" w:rsidP="00A460A0">
      <w:pPr>
        <w:rPr>
          <w:rFonts w:eastAsia="Times New Roman" w:cs="Arial"/>
        </w:rPr>
      </w:pPr>
    </w:p>
    <w:sectPr w:rsidR="00A460A0" w:rsidRPr="00E22D2E" w:rsidSect="00FC02DC">
      <w:footerReference w:type="default" r:id="rId10"/>
      <w:footerReference w:type="first" r:id="rId11"/>
      <w:pgSz w:w="12240" w:h="15840"/>
      <w:pgMar w:top="720" w:right="1296" w:bottom="720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96D7" w14:textId="77777777" w:rsidR="006E0207" w:rsidRDefault="006E0207" w:rsidP="00DD1644">
      <w:r>
        <w:separator/>
      </w:r>
    </w:p>
  </w:endnote>
  <w:endnote w:type="continuationSeparator" w:id="0">
    <w:p w14:paraId="6258A526" w14:textId="77777777" w:rsidR="006E0207" w:rsidRDefault="006E0207" w:rsidP="00D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3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334B2" w14:textId="77777777" w:rsidR="007837F7" w:rsidRDefault="00783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97A9D" w14:textId="77777777" w:rsidR="007837F7" w:rsidRDefault="0078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1766" w14:textId="77777777" w:rsidR="007837F7" w:rsidRDefault="007837F7">
    <w:pPr>
      <w:pStyle w:val="Footer"/>
      <w:jc w:val="center"/>
    </w:pPr>
  </w:p>
  <w:p w14:paraId="3C8847A5" w14:textId="77777777" w:rsidR="007837F7" w:rsidRDefault="0078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072D" w14:textId="77777777" w:rsidR="006E0207" w:rsidRDefault="006E0207" w:rsidP="00DD1644">
      <w:r>
        <w:separator/>
      </w:r>
    </w:p>
  </w:footnote>
  <w:footnote w:type="continuationSeparator" w:id="0">
    <w:p w14:paraId="3FF578E2" w14:textId="77777777" w:rsidR="006E0207" w:rsidRDefault="006E0207" w:rsidP="00DD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EFC"/>
    <w:multiLevelType w:val="hybridMultilevel"/>
    <w:tmpl w:val="389633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715FE"/>
    <w:multiLevelType w:val="hybridMultilevel"/>
    <w:tmpl w:val="D0AAB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E4474"/>
    <w:multiLevelType w:val="hybridMultilevel"/>
    <w:tmpl w:val="39F245E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BEF07FD"/>
    <w:multiLevelType w:val="hybridMultilevel"/>
    <w:tmpl w:val="584CD34E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B4DBD"/>
    <w:multiLevelType w:val="hybridMultilevel"/>
    <w:tmpl w:val="00287DB4"/>
    <w:lvl w:ilvl="0" w:tplc="55A8A6FA">
      <w:start w:val="1"/>
      <w:numFmt w:val="bullet"/>
      <w:lvlText w:val="▲"/>
      <w:lvlJc w:val="left"/>
      <w:pPr>
        <w:ind w:left="1080" w:hanging="360"/>
      </w:pPr>
      <w:rPr>
        <w:rFonts w:ascii="Segoe UI Symbol" w:eastAsia="SimSun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54F23"/>
    <w:multiLevelType w:val="hybridMultilevel"/>
    <w:tmpl w:val="8C48431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2D164C"/>
    <w:multiLevelType w:val="hybridMultilevel"/>
    <w:tmpl w:val="B31E3C8E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2452"/>
    <w:multiLevelType w:val="hybridMultilevel"/>
    <w:tmpl w:val="951486D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8A55EC"/>
    <w:multiLevelType w:val="hybridMultilevel"/>
    <w:tmpl w:val="174AC016"/>
    <w:lvl w:ilvl="0" w:tplc="CF8CA24A">
      <w:start w:val="1"/>
      <w:numFmt w:val="bullet"/>
      <w:lvlText w:val="∆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A86813"/>
    <w:multiLevelType w:val="hybridMultilevel"/>
    <w:tmpl w:val="C658A8CC"/>
    <w:lvl w:ilvl="0" w:tplc="CF8CA24A">
      <w:start w:val="1"/>
      <w:numFmt w:val="bullet"/>
      <w:lvlText w:val="∆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B01851"/>
    <w:multiLevelType w:val="hybridMultilevel"/>
    <w:tmpl w:val="1AC42EF0"/>
    <w:lvl w:ilvl="0" w:tplc="CF8CA24A">
      <w:start w:val="1"/>
      <w:numFmt w:val="bullet"/>
      <w:lvlText w:val="∆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4025D"/>
    <w:multiLevelType w:val="hybridMultilevel"/>
    <w:tmpl w:val="7B68B21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D002E88"/>
    <w:multiLevelType w:val="hybridMultilevel"/>
    <w:tmpl w:val="BF2EDCB0"/>
    <w:lvl w:ilvl="0" w:tplc="E21A8868">
      <w:start w:val="1"/>
      <w:numFmt w:val="bullet"/>
      <w:lvlText w:val="▲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57B38"/>
    <w:multiLevelType w:val="hybridMultilevel"/>
    <w:tmpl w:val="BDC014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F65E1F"/>
    <w:multiLevelType w:val="hybridMultilevel"/>
    <w:tmpl w:val="8F52D00C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3D4789"/>
    <w:multiLevelType w:val="hybridMultilevel"/>
    <w:tmpl w:val="652842A6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7E6C6E"/>
    <w:multiLevelType w:val="hybridMultilevel"/>
    <w:tmpl w:val="2FB6E056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D237D"/>
    <w:multiLevelType w:val="hybridMultilevel"/>
    <w:tmpl w:val="3D2C252E"/>
    <w:lvl w:ilvl="0" w:tplc="CF8CA24A">
      <w:start w:val="1"/>
      <w:numFmt w:val="bullet"/>
      <w:lvlText w:val="∆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FF7984"/>
    <w:multiLevelType w:val="hybridMultilevel"/>
    <w:tmpl w:val="9CC6C1A4"/>
    <w:lvl w:ilvl="0" w:tplc="5100CC7C">
      <w:start w:val="1"/>
      <w:numFmt w:val="bullet"/>
      <w:lvlText w:val="-"/>
      <w:lvlJc w:val="left"/>
      <w:pPr>
        <w:ind w:left="360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0143A9B"/>
    <w:multiLevelType w:val="hybridMultilevel"/>
    <w:tmpl w:val="088C3094"/>
    <w:lvl w:ilvl="0" w:tplc="781AEDDC">
      <w:start w:val="20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C90ACC"/>
    <w:multiLevelType w:val="hybridMultilevel"/>
    <w:tmpl w:val="B3AA0C68"/>
    <w:lvl w:ilvl="0" w:tplc="CF8CA24A">
      <w:start w:val="1"/>
      <w:numFmt w:val="bullet"/>
      <w:lvlText w:val="∆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8C5062"/>
    <w:multiLevelType w:val="hybridMultilevel"/>
    <w:tmpl w:val="63BE002E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9B6CC8"/>
    <w:multiLevelType w:val="hybridMultilevel"/>
    <w:tmpl w:val="B84E1C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FD1788B"/>
    <w:multiLevelType w:val="hybridMultilevel"/>
    <w:tmpl w:val="3DB83706"/>
    <w:lvl w:ilvl="0" w:tplc="CF8CA24A">
      <w:start w:val="1"/>
      <w:numFmt w:val="bullet"/>
      <w:lvlText w:val="∆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3B544D"/>
    <w:multiLevelType w:val="hybridMultilevel"/>
    <w:tmpl w:val="AAE007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5A0CB9"/>
    <w:multiLevelType w:val="hybridMultilevel"/>
    <w:tmpl w:val="8550B128"/>
    <w:lvl w:ilvl="0" w:tplc="CF8CA24A">
      <w:start w:val="1"/>
      <w:numFmt w:val="bullet"/>
      <w:lvlText w:val="∆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366876"/>
    <w:multiLevelType w:val="hybridMultilevel"/>
    <w:tmpl w:val="93F0F03E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 w15:restartNumberingAfterBreak="0">
    <w:nsid w:val="435429A1"/>
    <w:multiLevelType w:val="hybridMultilevel"/>
    <w:tmpl w:val="7E2A70BA"/>
    <w:lvl w:ilvl="0" w:tplc="E21A8868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465FB"/>
    <w:multiLevelType w:val="hybridMultilevel"/>
    <w:tmpl w:val="8488CD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96164DD"/>
    <w:multiLevelType w:val="hybridMultilevel"/>
    <w:tmpl w:val="663A45FC"/>
    <w:lvl w:ilvl="0" w:tplc="CF8CA24A">
      <w:start w:val="1"/>
      <w:numFmt w:val="bullet"/>
      <w:lvlText w:val="∆"/>
      <w:lvlJc w:val="left"/>
      <w:pPr>
        <w:ind w:left="25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99762F5"/>
    <w:multiLevelType w:val="hybridMultilevel"/>
    <w:tmpl w:val="1A18675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49E51E97"/>
    <w:multiLevelType w:val="hybridMultilevel"/>
    <w:tmpl w:val="76E0061A"/>
    <w:lvl w:ilvl="0" w:tplc="5100CC7C">
      <w:start w:val="1"/>
      <w:numFmt w:val="bullet"/>
      <w:lvlText w:val="-"/>
      <w:lvlJc w:val="left"/>
      <w:pPr>
        <w:ind w:left="324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B234665"/>
    <w:multiLevelType w:val="hybridMultilevel"/>
    <w:tmpl w:val="88022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944EC"/>
    <w:multiLevelType w:val="hybridMultilevel"/>
    <w:tmpl w:val="959CF286"/>
    <w:lvl w:ilvl="0" w:tplc="781AEDDC">
      <w:start w:val="20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C62E80"/>
    <w:multiLevelType w:val="hybridMultilevel"/>
    <w:tmpl w:val="95DC9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0CC7C">
      <w:start w:val="1"/>
      <w:numFmt w:val="bullet"/>
      <w:lvlText w:val="-"/>
      <w:lvlJc w:val="left"/>
      <w:pPr>
        <w:ind w:left="2160" w:hanging="360"/>
      </w:pPr>
      <w:rPr>
        <w:rFonts w:ascii="Georgia" w:hAnsi="Georgi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43E42"/>
    <w:multiLevelType w:val="hybridMultilevel"/>
    <w:tmpl w:val="4ED0D568"/>
    <w:lvl w:ilvl="0" w:tplc="CF8CA24A">
      <w:start w:val="1"/>
      <w:numFmt w:val="bullet"/>
      <w:lvlText w:val="∆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154F54"/>
    <w:multiLevelType w:val="hybridMultilevel"/>
    <w:tmpl w:val="4B661E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5A005D2"/>
    <w:multiLevelType w:val="hybridMultilevel"/>
    <w:tmpl w:val="7F1856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4570E0"/>
    <w:multiLevelType w:val="hybridMultilevel"/>
    <w:tmpl w:val="4B9283FC"/>
    <w:lvl w:ilvl="0" w:tplc="CF8CA24A">
      <w:start w:val="1"/>
      <w:numFmt w:val="bullet"/>
      <w:lvlText w:val="∆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7D359B"/>
    <w:multiLevelType w:val="hybridMultilevel"/>
    <w:tmpl w:val="728A88B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EA872D2"/>
    <w:multiLevelType w:val="hybridMultilevel"/>
    <w:tmpl w:val="63C27F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374FD5"/>
    <w:multiLevelType w:val="hybridMultilevel"/>
    <w:tmpl w:val="C50851AE"/>
    <w:lvl w:ilvl="0" w:tplc="CF8CA24A">
      <w:start w:val="1"/>
      <w:numFmt w:val="bullet"/>
      <w:lvlText w:val="∆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3F7D2D"/>
    <w:multiLevelType w:val="hybridMultilevel"/>
    <w:tmpl w:val="0D04D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D08D5"/>
    <w:multiLevelType w:val="hybridMultilevel"/>
    <w:tmpl w:val="13A89326"/>
    <w:lvl w:ilvl="0" w:tplc="5100CC7C">
      <w:start w:val="1"/>
      <w:numFmt w:val="bullet"/>
      <w:lvlText w:val="-"/>
      <w:lvlJc w:val="left"/>
      <w:pPr>
        <w:ind w:left="360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CFC2F6A"/>
    <w:multiLevelType w:val="hybridMultilevel"/>
    <w:tmpl w:val="582E73DA"/>
    <w:lvl w:ilvl="0" w:tplc="CF8CA24A">
      <w:start w:val="1"/>
      <w:numFmt w:val="bullet"/>
      <w:lvlText w:val="∆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975A7E"/>
    <w:multiLevelType w:val="hybridMultilevel"/>
    <w:tmpl w:val="A7D66EC0"/>
    <w:lvl w:ilvl="0" w:tplc="CF8CA24A">
      <w:start w:val="1"/>
      <w:numFmt w:val="bullet"/>
      <w:lvlText w:val="∆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3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37"/>
  </w:num>
  <w:num w:numId="10">
    <w:abstractNumId w:val="34"/>
  </w:num>
  <w:num w:numId="11">
    <w:abstractNumId w:val="13"/>
  </w:num>
  <w:num w:numId="12">
    <w:abstractNumId w:val="18"/>
  </w:num>
  <w:num w:numId="13">
    <w:abstractNumId w:val="8"/>
  </w:num>
  <w:num w:numId="14">
    <w:abstractNumId w:val="44"/>
  </w:num>
  <w:num w:numId="15">
    <w:abstractNumId w:val="17"/>
  </w:num>
  <w:num w:numId="16">
    <w:abstractNumId w:val="21"/>
  </w:num>
  <w:num w:numId="17">
    <w:abstractNumId w:val="14"/>
  </w:num>
  <w:num w:numId="18">
    <w:abstractNumId w:val="28"/>
  </w:num>
  <w:num w:numId="19">
    <w:abstractNumId w:val="33"/>
  </w:num>
  <w:num w:numId="20">
    <w:abstractNumId w:val="5"/>
  </w:num>
  <w:num w:numId="21">
    <w:abstractNumId w:val="40"/>
  </w:num>
  <w:num w:numId="22">
    <w:abstractNumId w:val="24"/>
  </w:num>
  <w:num w:numId="23">
    <w:abstractNumId w:val="31"/>
  </w:num>
  <w:num w:numId="24">
    <w:abstractNumId w:val="20"/>
  </w:num>
  <w:num w:numId="25">
    <w:abstractNumId w:val="35"/>
  </w:num>
  <w:num w:numId="26">
    <w:abstractNumId w:val="9"/>
  </w:num>
  <w:num w:numId="27">
    <w:abstractNumId w:val="41"/>
  </w:num>
  <w:num w:numId="28">
    <w:abstractNumId w:val="29"/>
  </w:num>
  <w:num w:numId="29">
    <w:abstractNumId w:val="45"/>
  </w:num>
  <w:num w:numId="30">
    <w:abstractNumId w:val="23"/>
  </w:num>
  <w:num w:numId="31">
    <w:abstractNumId w:val="25"/>
  </w:num>
  <w:num w:numId="32">
    <w:abstractNumId w:val="16"/>
  </w:num>
  <w:num w:numId="33">
    <w:abstractNumId w:val="43"/>
  </w:num>
  <w:num w:numId="34">
    <w:abstractNumId w:val="22"/>
  </w:num>
  <w:num w:numId="35">
    <w:abstractNumId w:val="32"/>
  </w:num>
  <w:num w:numId="36">
    <w:abstractNumId w:val="36"/>
  </w:num>
  <w:num w:numId="37">
    <w:abstractNumId w:val="27"/>
  </w:num>
  <w:num w:numId="38">
    <w:abstractNumId w:val="12"/>
  </w:num>
  <w:num w:numId="39">
    <w:abstractNumId w:val="0"/>
  </w:num>
  <w:num w:numId="40">
    <w:abstractNumId w:val="26"/>
  </w:num>
  <w:num w:numId="41">
    <w:abstractNumId w:val="1"/>
  </w:num>
  <w:num w:numId="42">
    <w:abstractNumId w:val="7"/>
  </w:num>
  <w:num w:numId="43">
    <w:abstractNumId w:val="2"/>
  </w:num>
  <w:num w:numId="44">
    <w:abstractNumId w:val="39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B1"/>
    <w:rsid w:val="00023046"/>
    <w:rsid w:val="00027BB6"/>
    <w:rsid w:val="00035C13"/>
    <w:rsid w:val="00040BF5"/>
    <w:rsid w:val="00071385"/>
    <w:rsid w:val="00082651"/>
    <w:rsid w:val="0008576F"/>
    <w:rsid w:val="0009352C"/>
    <w:rsid w:val="000A660A"/>
    <w:rsid w:val="000B232D"/>
    <w:rsid w:val="000B6379"/>
    <w:rsid w:val="000C133A"/>
    <w:rsid w:val="000C30AA"/>
    <w:rsid w:val="000C5075"/>
    <w:rsid w:val="000D0FB5"/>
    <w:rsid w:val="000E0039"/>
    <w:rsid w:val="000E0732"/>
    <w:rsid w:val="000E4356"/>
    <w:rsid w:val="000E6497"/>
    <w:rsid w:val="000F1979"/>
    <w:rsid w:val="000F5FA6"/>
    <w:rsid w:val="000F7201"/>
    <w:rsid w:val="000F7680"/>
    <w:rsid w:val="0010181E"/>
    <w:rsid w:val="00105B5E"/>
    <w:rsid w:val="001107BB"/>
    <w:rsid w:val="0011231A"/>
    <w:rsid w:val="00114AB9"/>
    <w:rsid w:val="001234CB"/>
    <w:rsid w:val="00157C20"/>
    <w:rsid w:val="00161469"/>
    <w:rsid w:val="001705E5"/>
    <w:rsid w:val="001735F7"/>
    <w:rsid w:val="00173A40"/>
    <w:rsid w:val="00190FCF"/>
    <w:rsid w:val="00193D4B"/>
    <w:rsid w:val="00194532"/>
    <w:rsid w:val="001A5803"/>
    <w:rsid w:val="001A7D5C"/>
    <w:rsid w:val="001B3B9E"/>
    <w:rsid w:val="001C163A"/>
    <w:rsid w:val="001C48FA"/>
    <w:rsid w:val="001D6711"/>
    <w:rsid w:val="001E117E"/>
    <w:rsid w:val="001E5311"/>
    <w:rsid w:val="001E67FD"/>
    <w:rsid w:val="001F175A"/>
    <w:rsid w:val="001F6110"/>
    <w:rsid w:val="00210A61"/>
    <w:rsid w:val="00212091"/>
    <w:rsid w:val="00214F6C"/>
    <w:rsid w:val="0022196E"/>
    <w:rsid w:val="002243D1"/>
    <w:rsid w:val="002345BA"/>
    <w:rsid w:val="00242FA3"/>
    <w:rsid w:val="002453CF"/>
    <w:rsid w:val="002627AB"/>
    <w:rsid w:val="00280926"/>
    <w:rsid w:val="0028306A"/>
    <w:rsid w:val="00283B65"/>
    <w:rsid w:val="00287D2E"/>
    <w:rsid w:val="00295815"/>
    <w:rsid w:val="002A18E9"/>
    <w:rsid w:val="002A1EBA"/>
    <w:rsid w:val="002A69B1"/>
    <w:rsid w:val="002B322D"/>
    <w:rsid w:val="002B5E0D"/>
    <w:rsid w:val="002C0A9F"/>
    <w:rsid w:val="002C0D67"/>
    <w:rsid w:val="002C4D7F"/>
    <w:rsid w:val="002D2084"/>
    <w:rsid w:val="002D5B61"/>
    <w:rsid w:val="002E12FB"/>
    <w:rsid w:val="002E4009"/>
    <w:rsid w:val="002F15F5"/>
    <w:rsid w:val="002F3E55"/>
    <w:rsid w:val="00305697"/>
    <w:rsid w:val="0030740F"/>
    <w:rsid w:val="00313DF5"/>
    <w:rsid w:val="00323AF8"/>
    <w:rsid w:val="00324477"/>
    <w:rsid w:val="0032478A"/>
    <w:rsid w:val="00343745"/>
    <w:rsid w:val="0035633F"/>
    <w:rsid w:val="00370FA6"/>
    <w:rsid w:val="00371C52"/>
    <w:rsid w:val="00377796"/>
    <w:rsid w:val="00380A11"/>
    <w:rsid w:val="003813A4"/>
    <w:rsid w:val="003815BC"/>
    <w:rsid w:val="0038195A"/>
    <w:rsid w:val="003833E5"/>
    <w:rsid w:val="003918D8"/>
    <w:rsid w:val="003C5994"/>
    <w:rsid w:val="003D7DE1"/>
    <w:rsid w:val="003E0FC1"/>
    <w:rsid w:val="003E2BB8"/>
    <w:rsid w:val="003F21C4"/>
    <w:rsid w:val="00404804"/>
    <w:rsid w:val="004060FD"/>
    <w:rsid w:val="00410D56"/>
    <w:rsid w:val="00412E9B"/>
    <w:rsid w:val="00414F82"/>
    <w:rsid w:val="00416AD4"/>
    <w:rsid w:val="00420857"/>
    <w:rsid w:val="0042332A"/>
    <w:rsid w:val="004408FC"/>
    <w:rsid w:val="00441EE7"/>
    <w:rsid w:val="0044287A"/>
    <w:rsid w:val="00447BCA"/>
    <w:rsid w:val="00457CB1"/>
    <w:rsid w:val="004605F8"/>
    <w:rsid w:val="004643FA"/>
    <w:rsid w:val="004659E7"/>
    <w:rsid w:val="00486735"/>
    <w:rsid w:val="004A496B"/>
    <w:rsid w:val="004A5349"/>
    <w:rsid w:val="004B3845"/>
    <w:rsid w:val="004C4584"/>
    <w:rsid w:val="004C4D43"/>
    <w:rsid w:val="004C6D2C"/>
    <w:rsid w:val="004D686F"/>
    <w:rsid w:val="004E2498"/>
    <w:rsid w:val="004F43E8"/>
    <w:rsid w:val="004F4966"/>
    <w:rsid w:val="00502C2F"/>
    <w:rsid w:val="00520293"/>
    <w:rsid w:val="00524866"/>
    <w:rsid w:val="00532E89"/>
    <w:rsid w:val="00533984"/>
    <w:rsid w:val="0054532E"/>
    <w:rsid w:val="005651E4"/>
    <w:rsid w:val="005712BB"/>
    <w:rsid w:val="00571A1D"/>
    <w:rsid w:val="00586953"/>
    <w:rsid w:val="005965AC"/>
    <w:rsid w:val="005A1468"/>
    <w:rsid w:val="005A1E8F"/>
    <w:rsid w:val="005A3C3A"/>
    <w:rsid w:val="005B1055"/>
    <w:rsid w:val="005D716E"/>
    <w:rsid w:val="005E0264"/>
    <w:rsid w:val="005E2B80"/>
    <w:rsid w:val="005E67C6"/>
    <w:rsid w:val="005E703F"/>
    <w:rsid w:val="005E735B"/>
    <w:rsid w:val="005F4DB7"/>
    <w:rsid w:val="006028E9"/>
    <w:rsid w:val="0061550D"/>
    <w:rsid w:val="0061795B"/>
    <w:rsid w:val="006276B2"/>
    <w:rsid w:val="006331AF"/>
    <w:rsid w:val="00637A05"/>
    <w:rsid w:val="00642006"/>
    <w:rsid w:val="006645C4"/>
    <w:rsid w:val="0067297C"/>
    <w:rsid w:val="00693F2D"/>
    <w:rsid w:val="00695375"/>
    <w:rsid w:val="006B2551"/>
    <w:rsid w:val="006D7C6E"/>
    <w:rsid w:val="006E0207"/>
    <w:rsid w:val="006E0F6A"/>
    <w:rsid w:val="006E4693"/>
    <w:rsid w:val="006E7AC5"/>
    <w:rsid w:val="0070525B"/>
    <w:rsid w:val="00722145"/>
    <w:rsid w:val="00726542"/>
    <w:rsid w:val="00731372"/>
    <w:rsid w:val="0074659A"/>
    <w:rsid w:val="00751CAD"/>
    <w:rsid w:val="00761B63"/>
    <w:rsid w:val="00777DDB"/>
    <w:rsid w:val="00780632"/>
    <w:rsid w:val="007837F7"/>
    <w:rsid w:val="00785184"/>
    <w:rsid w:val="00785F3B"/>
    <w:rsid w:val="00791082"/>
    <w:rsid w:val="007913C6"/>
    <w:rsid w:val="00793515"/>
    <w:rsid w:val="007A2D47"/>
    <w:rsid w:val="007D7C8A"/>
    <w:rsid w:val="007E1BBD"/>
    <w:rsid w:val="007E34C4"/>
    <w:rsid w:val="007E5286"/>
    <w:rsid w:val="00801CE1"/>
    <w:rsid w:val="00806346"/>
    <w:rsid w:val="00833474"/>
    <w:rsid w:val="008378AB"/>
    <w:rsid w:val="00850DE3"/>
    <w:rsid w:val="0085135C"/>
    <w:rsid w:val="008527F4"/>
    <w:rsid w:val="00852D4F"/>
    <w:rsid w:val="00852E0C"/>
    <w:rsid w:val="008551A2"/>
    <w:rsid w:val="00855CEF"/>
    <w:rsid w:val="00862A61"/>
    <w:rsid w:val="008670CB"/>
    <w:rsid w:val="00871DC2"/>
    <w:rsid w:val="00874A12"/>
    <w:rsid w:val="008766AC"/>
    <w:rsid w:val="0089485C"/>
    <w:rsid w:val="008A19DA"/>
    <w:rsid w:val="008A4CB5"/>
    <w:rsid w:val="008A5A50"/>
    <w:rsid w:val="008B2314"/>
    <w:rsid w:val="008B6D4D"/>
    <w:rsid w:val="008C1184"/>
    <w:rsid w:val="008E3321"/>
    <w:rsid w:val="008E3942"/>
    <w:rsid w:val="008F4467"/>
    <w:rsid w:val="008F61F6"/>
    <w:rsid w:val="008F63EB"/>
    <w:rsid w:val="00901718"/>
    <w:rsid w:val="00912319"/>
    <w:rsid w:val="009177E4"/>
    <w:rsid w:val="0092098F"/>
    <w:rsid w:val="00921CA2"/>
    <w:rsid w:val="00933E6C"/>
    <w:rsid w:val="00933EB5"/>
    <w:rsid w:val="0093407E"/>
    <w:rsid w:val="00935291"/>
    <w:rsid w:val="00944C91"/>
    <w:rsid w:val="00981DA0"/>
    <w:rsid w:val="00981E5C"/>
    <w:rsid w:val="00983E7C"/>
    <w:rsid w:val="00994CB4"/>
    <w:rsid w:val="009A248A"/>
    <w:rsid w:val="009A51B9"/>
    <w:rsid w:val="009A5BC1"/>
    <w:rsid w:val="009B078F"/>
    <w:rsid w:val="009C03C7"/>
    <w:rsid w:val="009C0BF8"/>
    <w:rsid w:val="009D2507"/>
    <w:rsid w:val="009D75DF"/>
    <w:rsid w:val="009F4CA2"/>
    <w:rsid w:val="00A03816"/>
    <w:rsid w:val="00A172BA"/>
    <w:rsid w:val="00A1730E"/>
    <w:rsid w:val="00A20A2E"/>
    <w:rsid w:val="00A23A97"/>
    <w:rsid w:val="00A3748F"/>
    <w:rsid w:val="00A460A0"/>
    <w:rsid w:val="00A502E1"/>
    <w:rsid w:val="00A528B4"/>
    <w:rsid w:val="00A65B85"/>
    <w:rsid w:val="00A7378A"/>
    <w:rsid w:val="00A80958"/>
    <w:rsid w:val="00A87BFB"/>
    <w:rsid w:val="00A910A6"/>
    <w:rsid w:val="00A9758F"/>
    <w:rsid w:val="00A979D2"/>
    <w:rsid w:val="00A97F5E"/>
    <w:rsid w:val="00AB200F"/>
    <w:rsid w:val="00AB2ADD"/>
    <w:rsid w:val="00AC5B26"/>
    <w:rsid w:val="00AC6219"/>
    <w:rsid w:val="00AD0BA0"/>
    <w:rsid w:val="00AD0E69"/>
    <w:rsid w:val="00AD19BE"/>
    <w:rsid w:val="00AE5C88"/>
    <w:rsid w:val="00B01928"/>
    <w:rsid w:val="00B17C91"/>
    <w:rsid w:val="00B208AA"/>
    <w:rsid w:val="00B21022"/>
    <w:rsid w:val="00B23BF4"/>
    <w:rsid w:val="00B26277"/>
    <w:rsid w:val="00B32983"/>
    <w:rsid w:val="00B34A77"/>
    <w:rsid w:val="00B41398"/>
    <w:rsid w:val="00B416BE"/>
    <w:rsid w:val="00B53A4D"/>
    <w:rsid w:val="00B74DA7"/>
    <w:rsid w:val="00BB7243"/>
    <w:rsid w:val="00BC1149"/>
    <w:rsid w:val="00BC183A"/>
    <w:rsid w:val="00BC2985"/>
    <w:rsid w:val="00BC683C"/>
    <w:rsid w:val="00BD09A8"/>
    <w:rsid w:val="00BD602B"/>
    <w:rsid w:val="00BD7860"/>
    <w:rsid w:val="00BE1608"/>
    <w:rsid w:val="00C0229D"/>
    <w:rsid w:val="00C243B6"/>
    <w:rsid w:val="00C430A6"/>
    <w:rsid w:val="00C4731F"/>
    <w:rsid w:val="00C51BBE"/>
    <w:rsid w:val="00C64BCB"/>
    <w:rsid w:val="00C651B1"/>
    <w:rsid w:val="00C736AC"/>
    <w:rsid w:val="00C74B24"/>
    <w:rsid w:val="00C912ED"/>
    <w:rsid w:val="00C9430C"/>
    <w:rsid w:val="00C9768E"/>
    <w:rsid w:val="00CA43EC"/>
    <w:rsid w:val="00CB5381"/>
    <w:rsid w:val="00CC37D6"/>
    <w:rsid w:val="00CD76A8"/>
    <w:rsid w:val="00CE2371"/>
    <w:rsid w:val="00CE6680"/>
    <w:rsid w:val="00CF1EC8"/>
    <w:rsid w:val="00CF358C"/>
    <w:rsid w:val="00D072FB"/>
    <w:rsid w:val="00D14161"/>
    <w:rsid w:val="00D33867"/>
    <w:rsid w:val="00D35A54"/>
    <w:rsid w:val="00D37D72"/>
    <w:rsid w:val="00D518EF"/>
    <w:rsid w:val="00D64E58"/>
    <w:rsid w:val="00D73997"/>
    <w:rsid w:val="00D912D4"/>
    <w:rsid w:val="00D97244"/>
    <w:rsid w:val="00D97E6C"/>
    <w:rsid w:val="00DA27AD"/>
    <w:rsid w:val="00DB4531"/>
    <w:rsid w:val="00DB7140"/>
    <w:rsid w:val="00DC0626"/>
    <w:rsid w:val="00DC11F3"/>
    <w:rsid w:val="00DC7E7B"/>
    <w:rsid w:val="00DD1644"/>
    <w:rsid w:val="00DE38B4"/>
    <w:rsid w:val="00DE5E06"/>
    <w:rsid w:val="00DE60B0"/>
    <w:rsid w:val="00DE6D7D"/>
    <w:rsid w:val="00DF7DE5"/>
    <w:rsid w:val="00E027C0"/>
    <w:rsid w:val="00E0606E"/>
    <w:rsid w:val="00E13F0F"/>
    <w:rsid w:val="00E21E7C"/>
    <w:rsid w:val="00E22D2E"/>
    <w:rsid w:val="00E31899"/>
    <w:rsid w:val="00E46B39"/>
    <w:rsid w:val="00E54B47"/>
    <w:rsid w:val="00E61F5E"/>
    <w:rsid w:val="00E67318"/>
    <w:rsid w:val="00E70427"/>
    <w:rsid w:val="00E82616"/>
    <w:rsid w:val="00E84AB9"/>
    <w:rsid w:val="00E96683"/>
    <w:rsid w:val="00EA1A7C"/>
    <w:rsid w:val="00EA1ED7"/>
    <w:rsid w:val="00EA3EE8"/>
    <w:rsid w:val="00EA6200"/>
    <w:rsid w:val="00EB0B9E"/>
    <w:rsid w:val="00EB16AD"/>
    <w:rsid w:val="00EB18C6"/>
    <w:rsid w:val="00EB197E"/>
    <w:rsid w:val="00EC4A82"/>
    <w:rsid w:val="00EC7FE8"/>
    <w:rsid w:val="00EE1212"/>
    <w:rsid w:val="00EF67DC"/>
    <w:rsid w:val="00F20882"/>
    <w:rsid w:val="00F22533"/>
    <w:rsid w:val="00F363BD"/>
    <w:rsid w:val="00F47B18"/>
    <w:rsid w:val="00F66DC0"/>
    <w:rsid w:val="00F67BAC"/>
    <w:rsid w:val="00F72BF5"/>
    <w:rsid w:val="00F73741"/>
    <w:rsid w:val="00F76E73"/>
    <w:rsid w:val="00F93081"/>
    <w:rsid w:val="00FA5662"/>
    <w:rsid w:val="00FB1DF5"/>
    <w:rsid w:val="00FB3600"/>
    <w:rsid w:val="00FB54CB"/>
    <w:rsid w:val="00FB6372"/>
    <w:rsid w:val="00FB76A0"/>
    <w:rsid w:val="00FC02DC"/>
    <w:rsid w:val="00FD2077"/>
    <w:rsid w:val="00FF279A"/>
    <w:rsid w:val="00FF34DC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1EF0"/>
  <w15:docId w15:val="{BA815A93-1781-4E30-9F61-6D7B8C7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A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A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A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A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A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A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A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A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A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A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A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A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A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A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A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A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A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0A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0A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A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0A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0A61"/>
    <w:rPr>
      <w:b/>
      <w:bCs/>
    </w:rPr>
  </w:style>
  <w:style w:type="character" w:styleId="Emphasis">
    <w:name w:val="Emphasis"/>
    <w:basedOn w:val="DefaultParagraphFont"/>
    <w:uiPriority w:val="20"/>
    <w:qFormat/>
    <w:rsid w:val="00210A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0A61"/>
    <w:rPr>
      <w:szCs w:val="32"/>
    </w:rPr>
  </w:style>
  <w:style w:type="paragraph" w:styleId="ListParagraph">
    <w:name w:val="List Paragraph"/>
    <w:basedOn w:val="Normal"/>
    <w:uiPriority w:val="34"/>
    <w:qFormat/>
    <w:rsid w:val="00210A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A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0A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A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A61"/>
    <w:rPr>
      <w:b/>
      <w:i/>
      <w:sz w:val="24"/>
    </w:rPr>
  </w:style>
  <w:style w:type="character" w:styleId="SubtleEmphasis">
    <w:name w:val="Subtle Emphasis"/>
    <w:uiPriority w:val="19"/>
    <w:qFormat/>
    <w:rsid w:val="00210A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0A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0A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0A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0A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A6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14F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53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566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7A60-6B15-43F0-97B0-F0F311D5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dmoritz</dc:creator>
  <cp:lastModifiedBy>Denise Moritz</cp:lastModifiedBy>
  <cp:revision>40</cp:revision>
  <cp:lastPrinted>2020-10-08T11:39:00Z</cp:lastPrinted>
  <dcterms:created xsi:type="dcterms:W3CDTF">2020-10-01T11:10:00Z</dcterms:created>
  <dcterms:modified xsi:type="dcterms:W3CDTF">2020-10-09T16:05:00Z</dcterms:modified>
</cp:coreProperties>
</file>