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D505B" w14:textId="0BB7B52F" w:rsidR="00AB0128" w:rsidRPr="00AB0128" w:rsidRDefault="00AB0128" w:rsidP="00217ECD">
      <w:pPr>
        <w:ind w:left="7200" w:firstLine="720"/>
        <w:jc w:val="right"/>
        <w:rPr>
          <w:rFonts w:ascii="Calibri" w:hAnsi="Calibri"/>
          <w:b/>
          <w:bCs/>
          <w:sz w:val="24"/>
          <w:szCs w:val="24"/>
        </w:rPr>
      </w:pPr>
      <w:r w:rsidRPr="00AB0128">
        <w:rPr>
          <w:rFonts w:ascii="Calibri" w:hAnsi="Calibri"/>
          <w:b/>
          <w:bCs/>
          <w:sz w:val="24"/>
          <w:szCs w:val="24"/>
        </w:rPr>
        <w:t>BARC #12.1</w:t>
      </w:r>
      <w:r w:rsidR="007327A4">
        <w:rPr>
          <w:rFonts w:ascii="Calibri" w:hAnsi="Calibri"/>
          <w:b/>
          <w:bCs/>
          <w:sz w:val="24"/>
          <w:szCs w:val="24"/>
        </w:rPr>
        <w:t>6</w:t>
      </w:r>
    </w:p>
    <w:p w14:paraId="081F9397" w14:textId="4B6E67A7" w:rsidR="000A2468" w:rsidRPr="00D91128" w:rsidRDefault="00C9436C" w:rsidP="00217ECD">
      <w:pPr>
        <w:ind w:left="7200" w:firstLine="720"/>
        <w:jc w:val="right"/>
        <w:rPr>
          <w:rFonts w:ascii="Arial" w:hAnsi="Arial" w:cs="Arial"/>
          <w:b/>
          <w:sz w:val="22"/>
          <w:szCs w:val="22"/>
        </w:rPr>
      </w:pPr>
      <w:r w:rsidRPr="00D91128">
        <w:rPr>
          <w:rFonts w:ascii="Arial" w:hAnsi="Arial" w:cs="Arial"/>
          <w:b/>
          <w:sz w:val="22"/>
          <w:szCs w:val="22"/>
        </w:rPr>
        <w:t>2020</w:t>
      </w:r>
      <w:r w:rsidR="00CC0EAD">
        <w:rPr>
          <w:rFonts w:ascii="Arial" w:hAnsi="Arial" w:cs="Arial"/>
          <w:b/>
          <w:sz w:val="22"/>
          <w:szCs w:val="22"/>
        </w:rPr>
        <w:t>-2021</w:t>
      </w:r>
    </w:p>
    <w:p w14:paraId="3E6DAC1F" w14:textId="77777777" w:rsidR="000A2468" w:rsidRPr="00D91128" w:rsidRDefault="000A2468">
      <w:pPr>
        <w:jc w:val="right"/>
        <w:rPr>
          <w:rFonts w:ascii="Arial" w:hAnsi="Arial" w:cs="Arial"/>
          <w:b/>
          <w:sz w:val="22"/>
          <w:szCs w:val="22"/>
        </w:rPr>
      </w:pPr>
    </w:p>
    <w:p w14:paraId="1070F7CF" w14:textId="77777777" w:rsidR="000A2468" w:rsidRPr="00D91128" w:rsidRDefault="000A2468">
      <w:pPr>
        <w:jc w:val="center"/>
        <w:rPr>
          <w:rFonts w:ascii="Arial" w:hAnsi="Arial" w:cs="Arial"/>
          <w:b/>
          <w:sz w:val="22"/>
          <w:szCs w:val="22"/>
        </w:rPr>
      </w:pPr>
    </w:p>
    <w:p w14:paraId="58DF6BCE" w14:textId="3F9C0F43" w:rsidR="000A2468" w:rsidRPr="00D91128" w:rsidRDefault="000A2468">
      <w:pPr>
        <w:rPr>
          <w:rFonts w:ascii="Arial" w:hAnsi="Arial" w:cs="Arial"/>
          <w:b/>
          <w:sz w:val="22"/>
          <w:szCs w:val="22"/>
        </w:rPr>
      </w:pPr>
      <w:r w:rsidRPr="00D91128">
        <w:rPr>
          <w:rFonts w:ascii="Arial" w:hAnsi="Arial" w:cs="Arial"/>
          <w:b/>
          <w:sz w:val="22"/>
          <w:szCs w:val="22"/>
        </w:rPr>
        <w:t>TO</w:t>
      </w:r>
      <w:r w:rsidR="0094102C" w:rsidRPr="00D91128">
        <w:rPr>
          <w:rFonts w:ascii="Arial" w:hAnsi="Arial" w:cs="Arial"/>
          <w:b/>
          <w:sz w:val="22"/>
          <w:szCs w:val="22"/>
        </w:rPr>
        <w:t>:</w:t>
      </w:r>
      <w:r w:rsidR="00AB1DF4" w:rsidRPr="00D91128">
        <w:rPr>
          <w:rFonts w:ascii="Arial" w:hAnsi="Arial" w:cs="Arial"/>
          <w:sz w:val="22"/>
          <w:szCs w:val="22"/>
        </w:rPr>
        <w:tab/>
      </w:r>
      <w:r w:rsidR="008061FB">
        <w:rPr>
          <w:rFonts w:ascii="Arial" w:hAnsi="Arial" w:cs="Arial"/>
          <w:sz w:val="22"/>
          <w:szCs w:val="22"/>
        </w:rPr>
        <w:t>Executive Board</w:t>
      </w:r>
    </w:p>
    <w:p w14:paraId="0E37B31A" w14:textId="77777777" w:rsidR="000A2468" w:rsidRPr="00D91128" w:rsidRDefault="000A2468">
      <w:pPr>
        <w:rPr>
          <w:rFonts w:ascii="Arial" w:hAnsi="Arial" w:cs="Arial"/>
          <w:sz w:val="22"/>
          <w:szCs w:val="22"/>
        </w:rPr>
      </w:pPr>
    </w:p>
    <w:p w14:paraId="09DEAA31" w14:textId="54D1E61D" w:rsidR="0094102C" w:rsidRPr="00D91128" w:rsidRDefault="000A2468" w:rsidP="00BA37B3">
      <w:pPr>
        <w:rPr>
          <w:rFonts w:ascii="Arial" w:hAnsi="Arial" w:cs="Arial"/>
          <w:sz w:val="22"/>
          <w:szCs w:val="22"/>
        </w:rPr>
      </w:pPr>
      <w:r w:rsidRPr="00D91128">
        <w:rPr>
          <w:rFonts w:ascii="Arial" w:hAnsi="Arial" w:cs="Arial"/>
          <w:b/>
          <w:sz w:val="22"/>
          <w:szCs w:val="22"/>
        </w:rPr>
        <w:t>RE:</w:t>
      </w:r>
      <w:r w:rsidR="00AB1DF4" w:rsidRPr="00D91128">
        <w:rPr>
          <w:rFonts w:ascii="Arial" w:hAnsi="Arial" w:cs="Arial"/>
          <w:sz w:val="22"/>
          <w:szCs w:val="22"/>
        </w:rPr>
        <w:tab/>
      </w:r>
      <w:r w:rsidR="0014670D" w:rsidRPr="00D91128">
        <w:rPr>
          <w:rFonts w:ascii="Arial" w:hAnsi="Arial" w:cs="Arial"/>
          <w:sz w:val="22"/>
          <w:szCs w:val="22"/>
        </w:rPr>
        <w:t>Conference Services</w:t>
      </w:r>
    </w:p>
    <w:p w14:paraId="3E33C0B0" w14:textId="77777777" w:rsidR="00985223" w:rsidRPr="00D91128" w:rsidRDefault="0094102C">
      <w:pPr>
        <w:rPr>
          <w:rFonts w:ascii="Arial" w:hAnsi="Arial" w:cs="Arial"/>
          <w:sz w:val="22"/>
          <w:szCs w:val="22"/>
        </w:rPr>
      </w:pPr>
      <w:r w:rsidRPr="00D91128">
        <w:rPr>
          <w:rFonts w:ascii="Arial" w:hAnsi="Arial" w:cs="Arial"/>
          <w:sz w:val="22"/>
          <w:szCs w:val="22"/>
        </w:rPr>
        <w:t xml:space="preserve"> </w:t>
      </w:r>
    </w:p>
    <w:p w14:paraId="62740431" w14:textId="77777777" w:rsidR="0094102C" w:rsidRPr="00D91128" w:rsidRDefault="000A2468" w:rsidP="0094102C">
      <w:pPr>
        <w:ind w:left="2160" w:hanging="2160"/>
        <w:rPr>
          <w:rFonts w:ascii="Arial" w:hAnsi="Arial" w:cs="Arial"/>
          <w:b/>
          <w:sz w:val="22"/>
          <w:szCs w:val="22"/>
        </w:rPr>
      </w:pPr>
      <w:r w:rsidRPr="00D91128">
        <w:rPr>
          <w:rFonts w:ascii="Arial" w:hAnsi="Arial" w:cs="Arial"/>
          <w:b/>
          <w:sz w:val="22"/>
          <w:szCs w:val="22"/>
        </w:rPr>
        <w:t>ACTION REQUESTED/INFORMATION/REPORT:</w:t>
      </w:r>
    </w:p>
    <w:p w14:paraId="610013EC" w14:textId="4BDA90D7" w:rsidR="000A2468" w:rsidRDefault="00E265C7">
      <w:pPr>
        <w:pStyle w:val="BodyTextIndent"/>
        <w:ind w:left="0" w:firstLine="0"/>
        <w:rPr>
          <w:rFonts w:ascii="Arial" w:hAnsi="Arial" w:cs="Arial"/>
          <w:bCs/>
          <w:i w:val="0"/>
          <w:sz w:val="22"/>
          <w:szCs w:val="22"/>
        </w:rPr>
      </w:pPr>
      <w:r>
        <w:rPr>
          <w:rFonts w:ascii="Arial" w:hAnsi="Arial" w:cs="Arial"/>
          <w:bCs/>
          <w:i w:val="0"/>
          <w:sz w:val="22"/>
          <w:szCs w:val="22"/>
        </w:rPr>
        <w:t>Approval</w:t>
      </w:r>
    </w:p>
    <w:p w14:paraId="588F3B46" w14:textId="77777777" w:rsidR="00627D62" w:rsidRPr="00D91128" w:rsidRDefault="00627D62">
      <w:pPr>
        <w:pStyle w:val="BodyTextIndent"/>
        <w:ind w:left="0" w:firstLine="0"/>
        <w:rPr>
          <w:rFonts w:ascii="Arial" w:hAnsi="Arial" w:cs="Arial"/>
          <w:i w:val="0"/>
          <w:sz w:val="22"/>
          <w:szCs w:val="22"/>
        </w:rPr>
      </w:pPr>
    </w:p>
    <w:p w14:paraId="5B0920AC" w14:textId="77777777" w:rsidR="0094102C" w:rsidRPr="00D91128" w:rsidRDefault="000A2468" w:rsidP="00F112E4">
      <w:pPr>
        <w:rPr>
          <w:rFonts w:ascii="Arial" w:hAnsi="Arial" w:cs="Arial"/>
          <w:b/>
          <w:sz w:val="22"/>
          <w:szCs w:val="22"/>
        </w:rPr>
      </w:pPr>
      <w:r w:rsidRPr="00D91128">
        <w:rPr>
          <w:rFonts w:ascii="Arial" w:hAnsi="Arial" w:cs="Arial"/>
          <w:b/>
          <w:sz w:val="22"/>
          <w:szCs w:val="22"/>
        </w:rPr>
        <w:t>ACTION REQUESTED BY:</w:t>
      </w:r>
    </w:p>
    <w:p w14:paraId="08373B75" w14:textId="3DA88CD7" w:rsidR="008C616D" w:rsidRPr="00D91128" w:rsidRDefault="008100FE" w:rsidP="00F112E4">
      <w:pPr>
        <w:rPr>
          <w:rFonts w:ascii="Arial" w:hAnsi="Arial" w:cs="Arial"/>
          <w:sz w:val="22"/>
          <w:szCs w:val="22"/>
        </w:rPr>
      </w:pPr>
      <w:r>
        <w:rPr>
          <w:rFonts w:ascii="Arial" w:hAnsi="Arial" w:cs="Arial"/>
          <w:sz w:val="22"/>
          <w:szCs w:val="22"/>
        </w:rPr>
        <w:t>ALA Conference Committee</w:t>
      </w:r>
    </w:p>
    <w:p w14:paraId="49F0AA3B" w14:textId="77777777" w:rsidR="000A2468" w:rsidRPr="00D91128" w:rsidRDefault="000A2468">
      <w:pPr>
        <w:rPr>
          <w:rFonts w:ascii="Arial" w:hAnsi="Arial" w:cs="Arial"/>
          <w:sz w:val="22"/>
          <w:szCs w:val="22"/>
        </w:rPr>
      </w:pPr>
    </w:p>
    <w:p w14:paraId="30BF7226" w14:textId="77777777" w:rsidR="00AB1DF4" w:rsidRPr="00D91128" w:rsidRDefault="000A2468" w:rsidP="008C616D">
      <w:pPr>
        <w:rPr>
          <w:rFonts w:ascii="Arial" w:hAnsi="Arial" w:cs="Arial"/>
          <w:sz w:val="22"/>
          <w:szCs w:val="22"/>
        </w:rPr>
      </w:pPr>
      <w:r w:rsidRPr="00D91128">
        <w:rPr>
          <w:rFonts w:ascii="Arial" w:hAnsi="Arial" w:cs="Arial"/>
          <w:b/>
          <w:sz w:val="22"/>
          <w:szCs w:val="22"/>
        </w:rPr>
        <w:t>CONTACT PERSON:</w:t>
      </w:r>
    </w:p>
    <w:p w14:paraId="3B8AF80B" w14:textId="2D33A688" w:rsidR="000A2468" w:rsidRPr="00D91128" w:rsidRDefault="00CD2986" w:rsidP="008C616D">
      <w:pPr>
        <w:rPr>
          <w:rFonts w:ascii="Arial" w:hAnsi="Arial" w:cs="Arial"/>
          <w:sz w:val="22"/>
          <w:szCs w:val="22"/>
        </w:rPr>
      </w:pPr>
      <w:r w:rsidRPr="00D91128">
        <w:rPr>
          <w:rFonts w:ascii="Arial" w:hAnsi="Arial" w:cs="Arial"/>
          <w:sz w:val="22"/>
          <w:szCs w:val="22"/>
        </w:rPr>
        <w:t>Earla J. Jones, MS, CMP</w:t>
      </w:r>
    </w:p>
    <w:p w14:paraId="31888CEB" w14:textId="349B4849" w:rsidR="00CD2986" w:rsidRPr="00D91128" w:rsidRDefault="00CD2986" w:rsidP="008C616D">
      <w:pPr>
        <w:rPr>
          <w:rFonts w:ascii="Arial" w:hAnsi="Arial" w:cs="Arial"/>
          <w:sz w:val="22"/>
          <w:szCs w:val="22"/>
        </w:rPr>
      </w:pPr>
      <w:r w:rsidRPr="00D91128">
        <w:rPr>
          <w:rFonts w:ascii="Arial" w:hAnsi="Arial" w:cs="Arial"/>
          <w:sz w:val="22"/>
          <w:szCs w:val="22"/>
        </w:rPr>
        <w:t>Director, Conference Services</w:t>
      </w:r>
    </w:p>
    <w:p w14:paraId="4430FAE7" w14:textId="16864E4F" w:rsidR="00CD2986" w:rsidRPr="00D91128" w:rsidRDefault="00CD2986" w:rsidP="008C616D">
      <w:pPr>
        <w:rPr>
          <w:rFonts w:ascii="Arial" w:hAnsi="Arial" w:cs="Arial"/>
          <w:sz w:val="22"/>
          <w:szCs w:val="22"/>
        </w:rPr>
      </w:pPr>
      <w:r w:rsidRPr="00D91128">
        <w:rPr>
          <w:rFonts w:ascii="Arial" w:hAnsi="Arial" w:cs="Arial"/>
          <w:sz w:val="22"/>
          <w:szCs w:val="22"/>
        </w:rPr>
        <w:t>312-280-3226 (office)</w:t>
      </w:r>
    </w:p>
    <w:p w14:paraId="3976F801" w14:textId="057CC2D2" w:rsidR="00CD2986" w:rsidRPr="00D91128" w:rsidRDefault="00CD2986" w:rsidP="008C616D">
      <w:pPr>
        <w:rPr>
          <w:rFonts w:ascii="Arial" w:hAnsi="Arial" w:cs="Arial"/>
          <w:sz w:val="22"/>
          <w:szCs w:val="22"/>
        </w:rPr>
      </w:pPr>
      <w:r w:rsidRPr="00D91128">
        <w:rPr>
          <w:rFonts w:ascii="Arial" w:hAnsi="Arial" w:cs="Arial"/>
          <w:sz w:val="22"/>
          <w:szCs w:val="22"/>
        </w:rPr>
        <w:t>ejones@ala.org</w:t>
      </w:r>
    </w:p>
    <w:p w14:paraId="5D5A8879" w14:textId="77777777" w:rsidR="000A2468" w:rsidRPr="00D91128" w:rsidRDefault="000A2468">
      <w:pPr>
        <w:rPr>
          <w:rFonts w:ascii="Arial" w:hAnsi="Arial" w:cs="Arial"/>
          <w:bCs/>
          <w:sz w:val="22"/>
          <w:szCs w:val="22"/>
        </w:rPr>
      </w:pPr>
    </w:p>
    <w:p w14:paraId="753278EC" w14:textId="77777777" w:rsidR="0094102C" w:rsidRPr="00D91128" w:rsidRDefault="000A2468" w:rsidP="0094102C">
      <w:pPr>
        <w:rPr>
          <w:rFonts w:ascii="Arial" w:hAnsi="Arial" w:cs="Arial"/>
          <w:b/>
          <w:sz w:val="22"/>
          <w:szCs w:val="22"/>
        </w:rPr>
      </w:pPr>
      <w:r w:rsidRPr="00D91128">
        <w:rPr>
          <w:rFonts w:ascii="Arial" w:hAnsi="Arial" w:cs="Arial"/>
          <w:b/>
          <w:sz w:val="22"/>
          <w:szCs w:val="22"/>
        </w:rPr>
        <w:t>DRAFT OF MOTION:</w:t>
      </w:r>
    </w:p>
    <w:p w14:paraId="78D01976" w14:textId="77777777" w:rsidR="00140FC3" w:rsidRDefault="00140FC3" w:rsidP="0094102C">
      <w:pPr>
        <w:rPr>
          <w:rFonts w:ascii="Arial" w:hAnsi="Arial" w:cs="Arial"/>
          <w:bCs/>
          <w:sz w:val="22"/>
          <w:szCs w:val="22"/>
        </w:rPr>
      </w:pPr>
      <w:r w:rsidRPr="00140FC3">
        <w:rPr>
          <w:rFonts w:ascii="Arial" w:hAnsi="Arial" w:cs="Arial"/>
          <w:bCs/>
          <w:sz w:val="22"/>
          <w:szCs w:val="22"/>
        </w:rPr>
        <w:t>Conference Committee recommends to the ALA Executive Board approval to affirm LibLearnX: The Library Learning Experience in both concept and title to the Conference Services portfolio, as an ALA member benefit, as outlined in the attached conceptual summary.</w:t>
      </w:r>
    </w:p>
    <w:p w14:paraId="78D72936" w14:textId="7C197CA7" w:rsidR="000A2468" w:rsidRPr="00D91128" w:rsidRDefault="0094102C" w:rsidP="0094102C">
      <w:pPr>
        <w:rPr>
          <w:rFonts w:ascii="Arial" w:hAnsi="Arial" w:cs="Arial"/>
          <w:bCs/>
          <w:sz w:val="22"/>
          <w:szCs w:val="22"/>
        </w:rPr>
      </w:pPr>
      <w:r w:rsidRPr="00D91128">
        <w:rPr>
          <w:rFonts w:ascii="Arial" w:hAnsi="Arial" w:cs="Arial"/>
          <w:bCs/>
          <w:sz w:val="22"/>
          <w:szCs w:val="22"/>
        </w:rPr>
        <w:t xml:space="preserve"> </w:t>
      </w:r>
    </w:p>
    <w:p w14:paraId="7154E7C3" w14:textId="40F741CA" w:rsidR="000A2468" w:rsidRPr="00D91128" w:rsidRDefault="000A2468">
      <w:pPr>
        <w:rPr>
          <w:rFonts w:ascii="Arial" w:hAnsi="Arial" w:cs="Arial"/>
          <w:sz w:val="22"/>
          <w:szCs w:val="22"/>
        </w:rPr>
      </w:pPr>
      <w:r w:rsidRPr="00D91128">
        <w:rPr>
          <w:rFonts w:ascii="Arial" w:hAnsi="Arial" w:cs="Arial"/>
          <w:b/>
          <w:sz w:val="22"/>
          <w:szCs w:val="22"/>
        </w:rPr>
        <w:t>DATE:</w:t>
      </w:r>
      <w:r w:rsidR="00AB1DF4" w:rsidRPr="00D91128">
        <w:rPr>
          <w:rFonts w:ascii="Arial" w:hAnsi="Arial" w:cs="Arial"/>
          <w:sz w:val="22"/>
          <w:szCs w:val="22"/>
        </w:rPr>
        <w:tab/>
      </w:r>
      <w:r w:rsidR="00435DE5">
        <w:rPr>
          <w:rFonts w:ascii="Arial" w:hAnsi="Arial" w:cs="Arial"/>
          <w:sz w:val="22"/>
          <w:szCs w:val="22"/>
        </w:rPr>
        <w:t>1</w:t>
      </w:r>
      <w:r w:rsidR="00C17BBC">
        <w:rPr>
          <w:rFonts w:ascii="Arial" w:hAnsi="Arial" w:cs="Arial"/>
          <w:sz w:val="22"/>
          <w:szCs w:val="22"/>
        </w:rPr>
        <w:t>1</w:t>
      </w:r>
      <w:r w:rsidR="00435DE5">
        <w:rPr>
          <w:rFonts w:ascii="Arial" w:hAnsi="Arial" w:cs="Arial"/>
          <w:sz w:val="22"/>
          <w:szCs w:val="22"/>
        </w:rPr>
        <w:t>/</w:t>
      </w:r>
      <w:r w:rsidR="00C17BBC">
        <w:rPr>
          <w:rFonts w:ascii="Arial" w:hAnsi="Arial" w:cs="Arial"/>
          <w:sz w:val="22"/>
          <w:szCs w:val="22"/>
        </w:rPr>
        <w:t>1</w:t>
      </w:r>
      <w:r w:rsidR="00803833">
        <w:rPr>
          <w:rFonts w:ascii="Arial" w:hAnsi="Arial" w:cs="Arial"/>
          <w:sz w:val="22"/>
          <w:szCs w:val="22"/>
        </w:rPr>
        <w:t>7</w:t>
      </w:r>
      <w:r w:rsidR="00435DE5">
        <w:rPr>
          <w:rFonts w:ascii="Arial" w:hAnsi="Arial" w:cs="Arial"/>
          <w:sz w:val="22"/>
          <w:szCs w:val="22"/>
        </w:rPr>
        <w:t>/2020</w:t>
      </w:r>
    </w:p>
    <w:p w14:paraId="614C1A73" w14:textId="77777777" w:rsidR="000A2468" w:rsidRPr="00D91128" w:rsidRDefault="000A2468">
      <w:pPr>
        <w:rPr>
          <w:rFonts w:ascii="Arial" w:hAnsi="Arial" w:cs="Arial"/>
          <w:sz w:val="22"/>
          <w:szCs w:val="22"/>
        </w:rPr>
      </w:pPr>
    </w:p>
    <w:p w14:paraId="3F9F9C4C" w14:textId="77777777" w:rsidR="00AB1DF4" w:rsidRPr="00D91128" w:rsidRDefault="000A2468" w:rsidP="0094102C">
      <w:pPr>
        <w:rPr>
          <w:rFonts w:ascii="Arial" w:hAnsi="Arial" w:cs="Arial"/>
          <w:sz w:val="22"/>
          <w:szCs w:val="22"/>
        </w:rPr>
      </w:pPr>
      <w:r w:rsidRPr="00D91128">
        <w:rPr>
          <w:rFonts w:ascii="Arial" w:hAnsi="Arial" w:cs="Arial"/>
          <w:b/>
          <w:sz w:val="22"/>
          <w:szCs w:val="22"/>
        </w:rPr>
        <w:t>BACKGROUND:</w:t>
      </w:r>
      <w:r w:rsidR="00AB1DF4" w:rsidRPr="00D91128">
        <w:rPr>
          <w:rFonts w:ascii="Arial" w:hAnsi="Arial" w:cs="Arial"/>
          <w:sz w:val="22"/>
          <w:szCs w:val="22"/>
        </w:rPr>
        <w:tab/>
      </w:r>
    </w:p>
    <w:p w14:paraId="3A01D7C1" w14:textId="53C2CC35" w:rsidR="0094102C" w:rsidRPr="00D91128" w:rsidRDefault="0094102C" w:rsidP="0094102C">
      <w:pPr>
        <w:rPr>
          <w:rFonts w:ascii="Arial" w:hAnsi="Arial" w:cs="Arial"/>
          <w:sz w:val="22"/>
          <w:szCs w:val="22"/>
        </w:rPr>
      </w:pPr>
    </w:p>
    <w:p w14:paraId="5811B88C" w14:textId="77777777" w:rsidR="00145824" w:rsidRPr="00D91128" w:rsidRDefault="00145824" w:rsidP="0094102C">
      <w:pPr>
        <w:rPr>
          <w:rFonts w:ascii="Arial" w:hAnsi="Arial" w:cs="Arial"/>
          <w:i/>
          <w:sz w:val="22"/>
          <w:szCs w:val="22"/>
        </w:rPr>
      </w:pPr>
    </w:p>
    <w:p w14:paraId="73BEC9A6" w14:textId="36F4A00D" w:rsidR="0094102C" w:rsidRPr="00D91128" w:rsidRDefault="0094102C" w:rsidP="00AB1DF4">
      <w:pPr>
        <w:pStyle w:val="Heading3"/>
        <w:rPr>
          <w:rFonts w:ascii="Arial" w:hAnsi="Arial" w:cs="Arial"/>
          <w:sz w:val="22"/>
          <w:szCs w:val="22"/>
        </w:rPr>
      </w:pPr>
      <w:r w:rsidRPr="00D91128">
        <w:rPr>
          <w:rFonts w:ascii="Arial" w:hAnsi="Arial" w:cs="Arial"/>
          <w:b/>
          <w:i w:val="0"/>
          <w:sz w:val="22"/>
          <w:szCs w:val="22"/>
        </w:rPr>
        <w:t>ATTACHMENTS:</w:t>
      </w:r>
      <w:r w:rsidR="00AB1DF4" w:rsidRPr="00D91128">
        <w:rPr>
          <w:rFonts w:ascii="Arial" w:hAnsi="Arial" w:cs="Arial"/>
          <w:sz w:val="22"/>
          <w:szCs w:val="22"/>
        </w:rPr>
        <w:t xml:space="preserve"> </w:t>
      </w:r>
    </w:p>
    <w:p w14:paraId="736B3D7E" w14:textId="59B2F39D" w:rsidR="00BA5755" w:rsidRPr="00D91128" w:rsidRDefault="00BA5755" w:rsidP="00BA5755">
      <w:pPr>
        <w:rPr>
          <w:rFonts w:ascii="Arial" w:hAnsi="Arial" w:cs="Arial"/>
          <w:sz w:val="22"/>
          <w:szCs w:val="22"/>
        </w:rPr>
      </w:pPr>
      <w:r>
        <w:rPr>
          <w:rFonts w:ascii="Arial" w:hAnsi="Arial" w:cs="Arial"/>
          <w:sz w:val="22"/>
          <w:szCs w:val="22"/>
        </w:rPr>
        <w:t>LibLearnX Concept Summary</w:t>
      </w:r>
      <w:r w:rsidR="00D02BB3">
        <w:rPr>
          <w:rFonts w:ascii="Arial" w:hAnsi="Arial" w:cs="Arial"/>
          <w:sz w:val="22"/>
          <w:szCs w:val="22"/>
        </w:rPr>
        <w:t xml:space="preserve"> </w:t>
      </w:r>
      <w:r w:rsidR="007F59E0">
        <w:rPr>
          <w:rFonts w:ascii="Arial" w:hAnsi="Arial" w:cs="Arial"/>
          <w:sz w:val="22"/>
          <w:szCs w:val="22"/>
        </w:rPr>
        <w:t xml:space="preserve">which includes </w:t>
      </w:r>
      <w:r w:rsidR="001449C4">
        <w:rPr>
          <w:rFonts w:ascii="Arial" w:hAnsi="Arial" w:cs="Arial"/>
          <w:sz w:val="22"/>
          <w:szCs w:val="22"/>
        </w:rPr>
        <w:t xml:space="preserve">objective, goals/expectations, content/programming, target market segments, </w:t>
      </w:r>
      <w:r w:rsidR="00A53FE5">
        <w:rPr>
          <w:rFonts w:ascii="Arial" w:hAnsi="Arial" w:cs="Arial"/>
          <w:sz w:val="22"/>
          <w:szCs w:val="22"/>
        </w:rPr>
        <w:t>promotion plan, communi</w:t>
      </w:r>
      <w:r w:rsidR="006C0224">
        <w:rPr>
          <w:rFonts w:ascii="Arial" w:hAnsi="Arial" w:cs="Arial"/>
          <w:sz w:val="22"/>
          <w:szCs w:val="22"/>
        </w:rPr>
        <w:t>cation</w:t>
      </w:r>
      <w:r w:rsidR="00A53FE5">
        <w:rPr>
          <w:rFonts w:ascii="Arial" w:hAnsi="Arial" w:cs="Arial"/>
          <w:sz w:val="22"/>
          <w:szCs w:val="22"/>
        </w:rPr>
        <w:t xml:space="preserve"> strategy, </w:t>
      </w:r>
      <w:r w:rsidR="006C0224">
        <w:rPr>
          <w:rFonts w:ascii="Arial" w:hAnsi="Arial" w:cs="Arial"/>
          <w:sz w:val="22"/>
          <w:szCs w:val="22"/>
        </w:rPr>
        <w:t xml:space="preserve">locations for the first </w:t>
      </w:r>
      <w:r w:rsidR="004D1F3E">
        <w:rPr>
          <w:rFonts w:ascii="Arial" w:hAnsi="Arial" w:cs="Arial"/>
          <w:sz w:val="22"/>
          <w:szCs w:val="22"/>
        </w:rPr>
        <w:t>four</w:t>
      </w:r>
      <w:r w:rsidR="00CB1778">
        <w:rPr>
          <w:rFonts w:ascii="Arial" w:hAnsi="Arial" w:cs="Arial"/>
          <w:sz w:val="22"/>
          <w:szCs w:val="22"/>
        </w:rPr>
        <w:t xml:space="preserve"> years.</w:t>
      </w:r>
    </w:p>
    <w:p w14:paraId="6C642432" w14:textId="535EB155" w:rsidR="00CD2986" w:rsidRPr="00D91128" w:rsidRDefault="00CD2986" w:rsidP="00223861">
      <w:pPr>
        <w:ind w:left="360"/>
        <w:rPr>
          <w:rFonts w:ascii="Arial" w:hAnsi="Arial" w:cs="Arial"/>
          <w:sz w:val="22"/>
          <w:szCs w:val="22"/>
          <w:highlight w:val="yellow"/>
        </w:rPr>
      </w:pPr>
    </w:p>
    <w:p w14:paraId="56F86216" w14:textId="0358CCB2" w:rsidR="00BA37B3" w:rsidRPr="00D91128" w:rsidRDefault="00BA37B3">
      <w:pPr>
        <w:rPr>
          <w:rFonts w:ascii="Arial" w:hAnsi="Arial" w:cs="Arial"/>
          <w:sz w:val="22"/>
          <w:szCs w:val="22"/>
        </w:rPr>
      </w:pPr>
    </w:p>
    <w:p w14:paraId="00B17567" w14:textId="32F18E64" w:rsidR="00BA37B3" w:rsidRPr="00D91128" w:rsidRDefault="00BA37B3">
      <w:pPr>
        <w:rPr>
          <w:rFonts w:ascii="Arial" w:hAnsi="Arial" w:cs="Arial"/>
          <w:sz w:val="22"/>
          <w:szCs w:val="22"/>
        </w:rPr>
      </w:pPr>
    </w:p>
    <w:p w14:paraId="77F05EFA" w14:textId="5B78A18E" w:rsidR="00BA37B3" w:rsidRPr="00D91128" w:rsidRDefault="00BA37B3">
      <w:pPr>
        <w:rPr>
          <w:rFonts w:ascii="Arial" w:hAnsi="Arial" w:cs="Arial"/>
          <w:sz w:val="22"/>
          <w:szCs w:val="22"/>
        </w:rPr>
      </w:pPr>
    </w:p>
    <w:p w14:paraId="3DDAA911" w14:textId="0894BAE9" w:rsidR="00BA37B3" w:rsidRPr="00D91128" w:rsidRDefault="00BA37B3">
      <w:pPr>
        <w:rPr>
          <w:rFonts w:ascii="Arial" w:hAnsi="Arial" w:cs="Arial"/>
          <w:sz w:val="22"/>
          <w:szCs w:val="22"/>
        </w:rPr>
      </w:pPr>
    </w:p>
    <w:p w14:paraId="4CD325EE" w14:textId="5B62F885" w:rsidR="00BA37B3" w:rsidRPr="00D91128" w:rsidRDefault="00BA37B3">
      <w:pPr>
        <w:rPr>
          <w:rFonts w:ascii="Arial" w:hAnsi="Arial" w:cs="Arial"/>
          <w:sz w:val="22"/>
          <w:szCs w:val="22"/>
        </w:rPr>
      </w:pPr>
    </w:p>
    <w:p w14:paraId="7EE4F714" w14:textId="30E7C8A1" w:rsidR="00BA37B3" w:rsidRPr="00D91128" w:rsidRDefault="00BA37B3">
      <w:pPr>
        <w:rPr>
          <w:rFonts w:ascii="Arial" w:hAnsi="Arial" w:cs="Arial"/>
          <w:sz w:val="22"/>
          <w:szCs w:val="22"/>
        </w:rPr>
      </w:pPr>
    </w:p>
    <w:p w14:paraId="4708A6D3" w14:textId="31F4BA6E" w:rsidR="00BA37B3" w:rsidRPr="00D91128" w:rsidRDefault="00BA37B3">
      <w:pPr>
        <w:rPr>
          <w:rFonts w:ascii="Arial" w:hAnsi="Arial" w:cs="Arial"/>
          <w:sz w:val="22"/>
          <w:szCs w:val="22"/>
        </w:rPr>
      </w:pPr>
    </w:p>
    <w:p w14:paraId="14A0D645" w14:textId="7948D367" w:rsidR="00BA37B3" w:rsidRPr="00D91128" w:rsidRDefault="00BA37B3">
      <w:pPr>
        <w:rPr>
          <w:rFonts w:ascii="Arial" w:hAnsi="Arial" w:cs="Arial"/>
          <w:sz w:val="22"/>
          <w:szCs w:val="22"/>
        </w:rPr>
      </w:pPr>
    </w:p>
    <w:p w14:paraId="79E31B6A" w14:textId="1BE2C592" w:rsidR="00BA37B3" w:rsidRPr="00D91128" w:rsidRDefault="00BA37B3">
      <w:pPr>
        <w:rPr>
          <w:rFonts w:ascii="Arial" w:hAnsi="Arial" w:cs="Arial"/>
          <w:sz w:val="22"/>
          <w:szCs w:val="22"/>
        </w:rPr>
      </w:pPr>
    </w:p>
    <w:p w14:paraId="65C23BB1" w14:textId="77777777" w:rsidR="0058170E" w:rsidRPr="00D91128" w:rsidRDefault="0058170E">
      <w:pPr>
        <w:rPr>
          <w:rFonts w:ascii="Arial" w:hAnsi="Arial" w:cs="Arial"/>
          <w:sz w:val="22"/>
          <w:szCs w:val="22"/>
        </w:rPr>
      </w:pPr>
    </w:p>
    <w:p w14:paraId="3E130BAA" w14:textId="7BB33B71" w:rsidR="00BA37B3" w:rsidRPr="00D91128" w:rsidRDefault="00BA37B3">
      <w:pPr>
        <w:rPr>
          <w:rFonts w:ascii="Arial" w:hAnsi="Arial" w:cs="Arial"/>
          <w:sz w:val="22"/>
          <w:szCs w:val="22"/>
        </w:rPr>
      </w:pPr>
    </w:p>
    <w:p w14:paraId="25FC5138" w14:textId="3C479DB8" w:rsidR="00BA37B3" w:rsidRPr="00D91128" w:rsidRDefault="00BA37B3">
      <w:pPr>
        <w:rPr>
          <w:rFonts w:ascii="Arial" w:hAnsi="Arial" w:cs="Arial"/>
          <w:sz w:val="22"/>
          <w:szCs w:val="22"/>
        </w:rPr>
      </w:pPr>
    </w:p>
    <w:p w14:paraId="227A6FEA" w14:textId="4E243634" w:rsidR="00AE07CC" w:rsidRPr="00D91128" w:rsidRDefault="00AE07CC">
      <w:pPr>
        <w:rPr>
          <w:rFonts w:ascii="Arial" w:hAnsi="Arial" w:cs="Arial"/>
          <w:sz w:val="22"/>
          <w:szCs w:val="22"/>
        </w:rPr>
      </w:pPr>
    </w:p>
    <w:p w14:paraId="5E404CB2" w14:textId="63CB2067" w:rsidR="00AE07CC" w:rsidRPr="00D91128" w:rsidRDefault="00AE07CC">
      <w:pPr>
        <w:rPr>
          <w:rFonts w:ascii="Arial" w:hAnsi="Arial" w:cs="Arial"/>
          <w:sz w:val="22"/>
          <w:szCs w:val="22"/>
        </w:rPr>
      </w:pPr>
    </w:p>
    <w:p w14:paraId="02A70429" w14:textId="22F01684" w:rsidR="00AE07CC" w:rsidRDefault="00AE07CC">
      <w:pPr>
        <w:rPr>
          <w:rFonts w:ascii="Arial" w:hAnsi="Arial" w:cs="Arial"/>
          <w:sz w:val="22"/>
          <w:szCs w:val="22"/>
        </w:rPr>
      </w:pPr>
    </w:p>
    <w:p w14:paraId="6F9C815E" w14:textId="5E5CC03E" w:rsidR="00D91128" w:rsidRDefault="00D91128">
      <w:pPr>
        <w:rPr>
          <w:rFonts w:ascii="Arial" w:hAnsi="Arial" w:cs="Arial"/>
          <w:sz w:val="22"/>
          <w:szCs w:val="22"/>
        </w:rPr>
      </w:pPr>
    </w:p>
    <w:p w14:paraId="2747E09E" w14:textId="0B80DBED" w:rsidR="00D91128" w:rsidRDefault="00D91128">
      <w:pPr>
        <w:rPr>
          <w:rFonts w:ascii="Arial" w:hAnsi="Arial" w:cs="Arial"/>
          <w:sz w:val="22"/>
          <w:szCs w:val="22"/>
        </w:rPr>
      </w:pPr>
    </w:p>
    <w:p w14:paraId="6981D45C" w14:textId="34BCAF47" w:rsidR="00D91128" w:rsidRDefault="00D91128">
      <w:pPr>
        <w:rPr>
          <w:rFonts w:ascii="Arial" w:hAnsi="Arial" w:cs="Arial"/>
          <w:sz w:val="22"/>
          <w:szCs w:val="22"/>
        </w:rPr>
      </w:pPr>
    </w:p>
    <w:p w14:paraId="459D192C" w14:textId="77777777" w:rsidR="00D91128" w:rsidRPr="00D91128" w:rsidRDefault="00D91128">
      <w:pPr>
        <w:rPr>
          <w:rFonts w:ascii="Arial" w:hAnsi="Arial" w:cs="Arial"/>
          <w:sz w:val="22"/>
          <w:szCs w:val="22"/>
        </w:rPr>
      </w:pPr>
    </w:p>
    <w:p w14:paraId="4CA3BB54" w14:textId="3F966359" w:rsidR="00F55271" w:rsidRPr="00F87DFC" w:rsidRDefault="00F55271" w:rsidP="00F55271">
      <w:pPr>
        <w:pStyle w:val="Header"/>
        <w:rPr>
          <w:rFonts w:ascii="Arial" w:hAnsi="Arial" w:cs="Arial"/>
          <w:b/>
          <w:smallCaps/>
          <w:u w:val="single"/>
        </w:rPr>
      </w:pPr>
      <w:r w:rsidRPr="00F87DFC">
        <w:rPr>
          <w:rFonts w:ascii="Arial" w:hAnsi="Arial" w:cs="Arial"/>
          <w:b/>
          <w:smallCaps/>
          <w:u w:val="single"/>
        </w:rPr>
        <w:lastRenderedPageBreak/>
        <w:t>LibLearnX: The Library Learning Experience</w:t>
      </w:r>
    </w:p>
    <w:p w14:paraId="1246EC09" w14:textId="77777777" w:rsidR="00F55271" w:rsidRPr="00F87DFC" w:rsidRDefault="00F55271" w:rsidP="00F55271">
      <w:pPr>
        <w:pStyle w:val="Header"/>
        <w:rPr>
          <w:rFonts w:ascii="Arial" w:hAnsi="Arial" w:cs="Arial"/>
          <w:b/>
          <w:smallCaps/>
        </w:rPr>
      </w:pPr>
    </w:p>
    <w:p w14:paraId="40566580" w14:textId="49057CBA" w:rsidR="00F55271" w:rsidRPr="00346656" w:rsidRDefault="00F55271" w:rsidP="00F55271">
      <w:pPr>
        <w:pStyle w:val="Header"/>
        <w:rPr>
          <w:rFonts w:ascii="Arial" w:hAnsi="Arial" w:cs="Arial"/>
          <w:bCs/>
        </w:rPr>
      </w:pPr>
      <w:r w:rsidRPr="00F87DFC">
        <w:rPr>
          <w:rFonts w:ascii="Arial" w:hAnsi="Arial" w:cs="Arial"/>
          <w:b/>
          <w:smallCaps/>
        </w:rPr>
        <w:t>Concept Summary</w:t>
      </w:r>
      <w:r w:rsidR="00346656">
        <w:rPr>
          <w:rFonts w:ascii="Arial" w:hAnsi="Arial" w:cs="Arial"/>
          <w:b/>
          <w:smallCaps/>
        </w:rPr>
        <w:t xml:space="preserve">: </w:t>
      </w:r>
      <w:r w:rsidR="00346656" w:rsidRPr="00346656">
        <w:rPr>
          <w:rFonts w:ascii="Arial" w:hAnsi="Arial" w:cs="Arial"/>
          <w:bCs/>
        </w:rPr>
        <w:t>Th</w:t>
      </w:r>
      <w:r w:rsidR="00B815E1">
        <w:rPr>
          <w:rFonts w:ascii="Arial" w:hAnsi="Arial" w:cs="Arial"/>
          <w:bCs/>
        </w:rPr>
        <w:t xml:space="preserve">e </w:t>
      </w:r>
      <w:r w:rsidR="00346656" w:rsidRPr="00346656">
        <w:rPr>
          <w:rFonts w:ascii="Arial" w:hAnsi="Arial" w:cs="Arial"/>
          <w:bCs/>
        </w:rPr>
        <w:t xml:space="preserve">summary </w:t>
      </w:r>
      <w:r w:rsidR="00B815E1">
        <w:rPr>
          <w:rFonts w:ascii="Arial" w:hAnsi="Arial" w:cs="Arial"/>
          <w:bCs/>
        </w:rPr>
        <w:t xml:space="preserve">that follows </w:t>
      </w:r>
      <w:r w:rsidR="00346656" w:rsidRPr="00346656">
        <w:rPr>
          <w:rFonts w:ascii="Arial" w:hAnsi="Arial" w:cs="Arial"/>
          <w:bCs/>
        </w:rPr>
        <w:t>is</w:t>
      </w:r>
      <w:r w:rsidR="00B815E1">
        <w:rPr>
          <w:rFonts w:ascii="Arial" w:hAnsi="Arial" w:cs="Arial"/>
          <w:bCs/>
        </w:rPr>
        <w:t xml:space="preserve"> </w:t>
      </w:r>
      <w:r w:rsidR="00346656" w:rsidRPr="00346656">
        <w:rPr>
          <w:rFonts w:ascii="Arial" w:hAnsi="Arial" w:cs="Arial"/>
          <w:bCs/>
        </w:rPr>
        <w:t xml:space="preserve">intended to be an illustration the current thinking and </w:t>
      </w:r>
      <w:r w:rsidR="00C34D4A">
        <w:rPr>
          <w:rFonts w:ascii="Arial" w:hAnsi="Arial" w:cs="Arial"/>
          <w:bCs/>
        </w:rPr>
        <w:t xml:space="preserve">formulation </w:t>
      </w:r>
      <w:r w:rsidR="00346656" w:rsidRPr="00346656">
        <w:rPr>
          <w:rFonts w:ascii="Arial" w:hAnsi="Arial" w:cs="Arial"/>
          <w:bCs/>
        </w:rPr>
        <w:t>surrounding LibLearnX. To reflect the spirit of LibLearnX, being dynamic and reflective of the current issues affecting libraries today, these concepts may evolve as the development continues.</w:t>
      </w:r>
    </w:p>
    <w:p w14:paraId="354B9745" w14:textId="77777777" w:rsidR="000454BD" w:rsidRPr="000454BD" w:rsidRDefault="000454BD" w:rsidP="000454BD">
      <w:pPr>
        <w:spacing w:after="160" w:line="259" w:lineRule="auto"/>
        <w:rPr>
          <w:rFonts w:ascii="Arial" w:eastAsia="Calibri" w:hAnsi="Arial" w:cs="Arial"/>
          <w:b/>
          <w:sz w:val="22"/>
          <w:szCs w:val="22"/>
          <w:u w:val="single"/>
        </w:rPr>
      </w:pPr>
      <w:r w:rsidRPr="000454BD">
        <w:rPr>
          <w:rFonts w:ascii="Arial" w:eastAsia="Calibri" w:hAnsi="Arial" w:cs="Arial"/>
          <w:b/>
          <w:sz w:val="22"/>
          <w:szCs w:val="22"/>
          <w:u w:val="single"/>
        </w:rPr>
        <w:br/>
        <w:t>Objective</w:t>
      </w:r>
    </w:p>
    <w:p w14:paraId="2FF6F07C"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sz w:val="22"/>
          <w:szCs w:val="22"/>
        </w:rPr>
        <w:t xml:space="preserve">The American Library Association premiers </w:t>
      </w:r>
      <w:r w:rsidRPr="000454BD">
        <w:rPr>
          <w:rFonts w:ascii="Arial" w:eastAsia="Calibri" w:hAnsi="Arial" w:cs="Arial"/>
          <w:b/>
          <w:bCs/>
          <w:sz w:val="22"/>
          <w:szCs w:val="22"/>
        </w:rPr>
        <w:t xml:space="preserve">LibLearnX: The Library Learning Experience (LLX). </w:t>
      </w:r>
      <w:r w:rsidRPr="000454BD">
        <w:rPr>
          <w:rFonts w:ascii="Arial" w:eastAsia="Calibri" w:hAnsi="Arial" w:cs="Arial"/>
          <w:sz w:val="22"/>
          <w:szCs w:val="22"/>
        </w:rPr>
        <w:t xml:space="preserve">A member-focused conference designed to motivate, inspire, and engage discussions that will shape the future of libraries and their communities. LibLearnX emphasizes active and applied learning, networking opportunities for library professionals, and a celebration of the positive impact libraries have on society. </w:t>
      </w:r>
      <w:r w:rsidRPr="000454BD">
        <w:rPr>
          <w:rFonts w:ascii="Arial" w:eastAsia="Calibri" w:hAnsi="Arial" w:cs="Arial"/>
          <w:sz w:val="22"/>
          <w:szCs w:val="22"/>
        </w:rPr>
        <w:br/>
      </w:r>
      <w:r w:rsidRPr="000454BD">
        <w:rPr>
          <w:rFonts w:ascii="Arial" w:eastAsia="Calibri" w:hAnsi="Arial" w:cs="Arial"/>
          <w:b/>
          <w:bCs/>
          <w:sz w:val="22"/>
          <w:szCs w:val="22"/>
        </w:rPr>
        <w:br/>
        <w:t>Logline:</w:t>
      </w:r>
      <w:r w:rsidRPr="000454BD">
        <w:rPr>
          <w:rFonts w:ascii="Arial" w:eastAsia="Calibri" w:hAnsi="Arial" w:cs="Arial"/>
          <w:sz w:val="22"/>
          <w:szCs w:val="22"/>
        </w:rPr>
        <w:t xml:space="preserve"> The premier library learning, networking, and collaboration experience. (Learn. Network. Collaborate.)</w:t>
      </w:r>
    </w:p>
    <w:p w14:paraId="2F74844A"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Hashtag:</w:t>
      </w:r>
      <w:r w:rsidRPr="000454BD">
        <w:rPr>
          <w:rFonts w:ascii="Arial" w:eastAsia="Calibri" w:hAnsi="Arial" w:cs="Arial"/>
          <w:sz w:val="22"/>
          <w:szCs w:val="22"/>
        </w:rPr>
        <w:t xml:space="preserve"> #LibLearnX</w:t>
      </w:r>
    </w:p>
    <w:p w14:paraId="2403CA0D"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Length:</w:t>
      </w:r>
      <w:r w:rsidRPr="000454BD">
        <w:rPr>
          <w:rFonts w:ascii="Arial" w:eastAsia="Calibri" w:hAnsi="Arial" w:cs="Arial"/>
          <w:sz w:val="22"/>
          <w:szCs w:val="22"/>
        </w:rPr>
        <w:t xml:space="preserve"> ~3 Days</w:t>
      </w:r>
    </w:p>
    <w:p w14:paraId="406B0CEB"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 xml:space="preserve">Delivery: </w:t>
      </w:r>
      <w:r w:rsidRPr="000454BD">
        <w:rPr>
          <w:rFonts w:ascii="Arial" w:eastAsia="Calibri" w:hAnsi="Arial" w:cs="Arial"/>
          <w:sz w:val="22"/>
          <w:szCs w:val="22"/>
        </w:rPr>
        <w:t>In-person with hybrid components</w:t>
      </w:r>
    </w:p>
    <w:p w14:paraId="65DB760D"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 xml:space="preserve">Optimal Event Size: </w:t>
      </w:r>
      <w:r w:rsidRPr="000454BD">
        <w:rPr>
          <w:rFonts w:ascii="Arial" w:eastAsia="Calibri" w:hAnsi="Arial" w:cs="Arial"/>
          <w:sz w:val="22"/>
          <w:szCs w:val="22"/>
        </w:rPr>
        <w:t>3,000 – 5,000 attendees (including exhibitors)</w:t>
      </w:r>
    </w:p>
    <w:p w14:paraId="2F4CB308"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Market Price Range:</w:t>
      </w:r>
      <w:r w:rsidRPr="000454BD">
        <w:rPr>
          <w:rFonts w:ascii="Arial" w:eastAsia="Calibri" w:hAnsi="Arial" w:cs="Arial"/>
          <w:sz w:val="22"/>
          <w:szCs w:val="22"/>
        </w:rPr>
        <w:t xml:space="preserve"> $300 - $400 with access differentials instead of membership-based pricing</w:t>
      </w:r>
    </w:p>
    <w:p w14:paraId="2C7CF95F"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bCs/>
          <w:sz w:val="22"/>
          <w:szCs w:val="22"/>
        </w:rPr>
        <w:t>Unique Value Proposition:</w:t>
      </w:r>
      <w:r w:rsidRPr="000454BD">
        <w:rPr>
          <w:rFonts w:ascii="Arial" w:eastAsia="Calibri" w:hAnsi="Arial" w:cs="Arial"/>
          <w:sz w:val="22"/>
          <w:szCs w:val="22"/>
        </w:rPr>
        <w:t xml:space="preserve"> ALA and specifically LibLearnX has the unique ability to convene library professionals from across different library fields for useful, memorable, and meaningful learning, networking, and collaboration experiences.</w:t>
      </w:r>
      <w:r w:rsidRPr="000454BD">
        <w:rPr>
          <w:rFonts w:ascii="Arial" w:eastAsia="Calibri" w:hAnsi="Arial" w:cs="Arial"/>
          <w:sz w:val="22"/>
          <w:szCs w:val="22"/>
        </w:rPr>
        <w:cr/>
      </w:r>
    </w:p>
    <w:p w14:paraId="51778595" w14:textId="77777777" w:rsidR="000454BD" w:rsidRPr="000454BD" w:rsidRDefault="000454BD" w:rsidP="000454BD">
      <w:pPr>
        <w:spacing w:after="160" w:line="259" w:lineRule="auto"/>
        <w:rPr>
          <w:rFonts w:ascii="Arial" w:eastAsia="Calibri" w:hAnsi="Arial" w:cs="Arial"/>
          <w:b/>
          <w:sz w:val="22"/>
          <w:szCs w:val="22"/>
          <w:u w:val="single"/>
        </w:rPr>
      </w:pPr>
      <w:r w:rsidRPr="000454BD">
        <w:rPr>
          <w:rFonts w:ascii="Arial" w:eastAsia="Calibri" w:hAnsi="Arial" w:cs="Arial"/>
          <w:b/>
          <w:sz w:val="22"/>
          <w:szCs w:val="22"/>
          <w:u w:val="single"/>
        </w:rPr>
        <w:t>Goals/Expectations</w:t>
      </w:r>
    </w:p>
    <w:p w14:paraId="714C7753" w14:textId="77777777" w:rsidR="000454BD" w:rsidRPr="000454BD" w:rsidRDefault="000454BD" w:rsidP="000454BD">
      <w:pPr>
        <w:numPr>
          <w:ilvl w:val="0"/>
          <w:numId w:val="18"/>
        </w:numPr>
        <w:spacing w:after="160" w:line="259" w:lineRule="auto"/>
        <w:contextualSpacing/>
        <w:rPr>
          <w:rFonts w:ascii="Arial" w:eastAsia="Calibri" w:hAnsi="Arial" w:cs="Arial"/>
          <w:sz w:val="22"/>
          <w:szCs w:val="22"/>
        </w:rPr>
      </w:pPr>
      <w:r w:rsidRPr="000454BD">
        <w:rPr>
          <w:rFonts w:ascii="Arial" w:eastAsia="Calibri" w:hAnsi="Arial" w:cs="Arial"/>
          <w:sz w:val="22"/>
          <w:szCs w:val="22"/>
        </w:rPr>
        <w:t>Provide unique offerings and allow attendees to determine the most relevant content for their continuing education</w:t>
      </w:r>
    </w:p>
    <w:p w14:paraId="1D8A8EF6" w14:textId="77777777" w:rsidR="000454BD" w:rsidRPr="000454BD" w:rsidRDefault="000454BD" w:rsidP="000454BD">
      <w:pPr>
        <w:numPr>
          <w:ilvl w:val="0"/>
          <w:numId w:val="18"/>
        </w:numPr>
        <w:spacing w:after="160" w:line="259" w:lineRule="auto"/>
        <w:contextualSpacing/>
        <w:rPr>
          <w:rFonts w:ascii="Arial" w:eastAsia="Calibri" w:hAnsi="Arial" w:cs="Arial"/>
          <w:sz w:val="22"/>
          <w:szCs w:val="22"/>
        </w:rPr>
      </w:pPr>
      <w:r w:rsidRPr="000454BD">
        <w:rPr>
          <w:rFonts w:ascii="Arial" w:eastAsia="Calibri" w:hAnsi="Arial" w:cs="Arial"/>
          <w:sz w:val="22"/>
          <w:szCs w:val="22"/>
        </w:rPr>
        <w:t>Encourage content proposals that include a higher-level education conversation, hands-on interaction, trend-scanning information, and speculative design concepts</w:t>
      </w:r>
    </w:p>
    <w:p w14:paraId="679B24BE" w14:textId="77777777" w:rsidR="000454BD" w:rsidRPr="000454BD" w:rsidRDefault="000454BD" w:rsidP="000454BD">
      <w:pPr>
        <w:numPr>
          <w:ilvl w:val="0"/>
          <w:numId w:val="18"/>
        </w:numPr>
        <w:spacing w:after="160" w:line="259" w:lineRule="auto"/>
        <w:contextualSpacing/>
        <w:rPr>
          <w:rFonts w:ascii="Arial" w:eastAsia="Calibri" w:hAnsi="Arial" w:cs="Arial"/>
          <w:b/>
          <w:bCs/>
          <w:sz w:val="22"/>
          <w:szCs w:val="22"/>
          <w:u w:val="single"/>
        </w:rPr>
      </w:pPr>
      <w:r w:rsidRPr="000454BD">
        <w:rPr>
          <w:rFonts w:ascii="Arial" w:eastAsia="Calibri" w:hAnsi="Arial" w:cs="Arial"/>
          <w:sz w:val="22"/>
          <w:szCs w:val="22"/>
        </w:rPr>
        <w:t>Create meaningful education and networking platforms within the exhibit space that encourages connections with publishers and vendors that provide products and services to ALA members</w:t>
      </w:r>
    </w:p>
    <w:p w14:paraId="45DD81C3" w14:textId="375DEC9D" w:rsidR="000454BD" w:rsidRDefault="000454BD" w:rsidP="000454BD">
      <w:pPr>
        <w:numPr>
          <w:ilvl w:val="0"/>
          <w:numId w:val="18"/>
        </w:numPr>
        <w:spacing w:after="160" w:line="259" w:lineRule="auto"/>
        <w:contextualSpacing/>
        <w:rPr>
          <w:rFonts w:ascii="Arial" w:eastAsia="Calibri" w:hAnsi="Arial" w:cs="Arial"/>
          <w:b/>
          <w:bCs/>
          <w:sz w:val="22"/>
          <w:szCs w:val="22"/>
          <w:u w:val="single"/>
        </w:rPr>
      </w:pPr>
      <w:r w:rsidRPr="000454BD">
        <w:rPr>
          <w:rFonts w:ascii="Arial" w:eastAsia="Calibri" w:hAnsi="Arial" w:cs="Arial"/>
          <w:sz w:val="22"/>
          <w:szCs w:val="22"/>
        </w:rPr>
        <w:t>Draw new audiences and markets (Library HR, Finance, IT, Adult Basic Education, ESL and Literacy, Social Work, and User Experience staff) who are not usually targeted by other ALA meetings to Continuing Education, EDI, Outreach, and User Experience offerings.</w:t>
      </w:r>
      <w:r w:rsidRPr="000454BD">
        <w:rPr>
          <w:rFonts w:ascii="Arial" w:eastAsia="Calibri" w:hAnsi="Arial" w:cs="Arial"/>
          <w:sz w:val="22"/>
          <w:szCs w:val="22"/>
        </w:rPr>
        <w:br/>
      </w:r>
    </w:p>
    <w:p w14:paraId="294B0ABE" w14:textId="77777777" w:rsidR="00F87DFC" w:rsidRPr="000454BD" w:rsidRDefault="00F87DFC" w:rsidP="00F87DFC">
      <w:pPr>
        <w:spacing w:after="160" w:line="259" w:lineRule="auto"/>
        <w:ind w:left="720"/>
        <w:contextualSpacing/>
        <w:rPr>
          <w:rFonts w:ascii="Arial" w:eastAsia="Calibri" w:hAnsi="Arial" w:cs="Arial"/>
          <w:b/>
          <w:bCs/>
          <w:sz w:val="22"/>
          <w:szCs w:val="22"/>
          <w:u w:val="single"/>
        </w:rPr>
      </w:pPr>
    </w:p>
    <w:p w14:paraId="70085EB5" w14:textId="77777777" w:rsidR="000454BD" w:rsidRPr="000454BD" w:rsidRDefault="000454BD" w:rsidP="000454BD">
      <w:pPr>
        <w:spacing w:after="160" w:line="259" w:lineRule="auto"/>
        <w:rPr>
          <w:rFonts w:ascii="Arial" w:eastAsia="Calibri" w:hAnsi="Arial" w:cs="Arial"/>
          <w:b/>
          <w:bCs/>
          <w:sz w:val="22"/>
          <w:szCs w:val="22"/>
          <w:u w:val="single"/>
        </w:rPr>
      </w:pPr>
      <w:r w:rsidRPr="000454BD">
        <w:rPr>
          <w:rFonts w:ascii="Arial" w:eastAsia="Calibri" w:hAnsi="Arial" w:cs="Arial"/>
          <w:b/>
          <w:bCs/>
          <w:sz w:val="22"/>
          <w:szCs w:val="22"/>
          <w:u w:val="single"/>
        </w:rPr>
        <w:t>Content &amp; Programming</w:t>
      </w:r>
    </w:p>
    <w:p w14:paraId="0C263999" w14:textId="314AFD6C" w:rsidR="000454BD" w:rsidRPr="000454BD" w:rsidRDefault="000454BD" w:rsidP="000454BD">
      <w:pPr>
        <w:numPr>
          <w:ilvl w:val="0"/>
          <w:numId w:val="22"/>
        </w:numPr>
        <w:spacing w:after="120" w:line="259" w:lineRule="auto"/>
        <w:contextualSpacing/>
        <w:rPr>
          <w:rFonts w:ascii="Arial" w:eastAsia="Calibri" w:hAnsi="Arial" w:cs="Arial"/>
          <w:sz w:val="22"/>
          <w:szCs w:val="22"/>
        </w:rPr>
      </w:pPr>
      <w:r w:rsidRPr="000454BD">
        <w:rPr>
          <w:rFonts w:ascii="Arial" w:eastAsia="Calibri" w:hAnsi="Arial" w:cs="Arial"/>
          <w:b/>
          <w:bCs/>
          <w:i/>
          <w:iCs/>
          <w:sz w:val="22"/>
          <w:szCs w:val="22"/>
        </w:rPr>
        <w:t>Call for Presentations</w:t>
      </w:r>
      <w:r w:rsidRPr="000454BD">
        <w:rPr>
          <w:rFonts w:ascii="Arial" w:eastAsia="Calibri" w:hAnsi="Arial" w:cs="Arial"/>
          <w:sz w:val="22"/>
          <w:szCs w:val="22"/>
        </w:rPr>
        <w:t xml:space="preserve">: To deliver exceptional learning experiences, a Call for Presentations will be solicited. Preference may be given to proposals that reflect field best practices, have clear learning objectives, and focus on applicable content, instructional design, and diverse audiences. Topical areas may include with an annual rotating focus: </w:t>
      </w:r>
      <w:r w:rsidRPr="000454BD">
        <w:rPr>
          <w:rFonts w:ascii="Arial" w:eastAsia="Calibri" w:hAnsi="Arial" w:cs="Arial"/>
          <w:b/>
          <w:bCs/>
          <w:sz w:val="22"/>
          <w:szCs w:val="22"/>
        </w:rPr>
        <w:t>Equity, Diversity &amp; Inclusion, the Future of Libraries, Readers Advisory</w:t>
      </w:r>
      <w:r w:rsidR="002817E7">
        <w:rPr>
          <w:rFonts w:ascii="Arial" w:eastAsia="Calibri" w:hAnsi="Arial" w:cs="Arial"/>
          <w:b/>
          <w:bCs/>
          <w:sz w:val="22"/>
          <w:szCs w:val="22"/>
        </w:rPr>
        <w:t>/Collection Development</w:t>
      </w:r>
      <w:r w:rsidRPr="000454BD">
        <w:rPr>
          <w:rFonts w:ascii="Arial" w:eastAsia="Calibri" w:hAnsi="Arial" w:cs="Arial"/>
          <w:b/>
          <w:bCs/>
          <w:sz w:val="22"/>
          <w:szCs w:val="22"/>
        </w:rPr>
        <w:t>, Professional Development, Human Resources</w:t>
      </w:r>
    </w:p>
    <w:p w14:paraId="317C4F2A" w14:textId="77777777" w:rsidR="000454BD" w:rsidRPr="000454BD" w:rsidRDefault="000454BD" w:rsidP="000454BD">
      <w:pPr>
        <w:numPr>
          <w:ilvl w:val="0"/>
          <w:numId w:val="18"/>
        </w:numPr>
        <w:spacing w:after="120" w:line="259" w:lineRule="auto"/>
        <w:contextualSpacing/>
        <w:rPr>
          <w:rFonts w:ascii="Arial" w:eastAsia="Calibri" w:hAnsi="Arial" w:cs="Arial"/>
          <w:bCs/>
          <w:sz w:val="22"/>
          <w:szCs w:val="22"/>
        </w:rPr>
      </w:pPr>
      <w:r w:rsidRPr="000454BD">
        <w:rPr>
          <w:rFonts w:ascii="Arial" w:eastAsia="Calibri" w:hAnsi="Arial" w:cs="Arial"/>
          <w:b/>
          <w:i/>
          <w:iCs/>
          <w:sz w:val="22"/>
          <w:szCs w:val="22"/>
        </w:rPr>
        <w:lastRenderedPageBreak/>
        <w:t>Institutes:</w:t>
      </w:r>
      <w:r w:rsidRPr="000454BD">
        <w:rPr>
          <w:rFonts w:ascii="Arial" w:eastAsia="Calibri" w:hAnsi="Arial" w:cs="Arial"/>
          <w:bCs/>
          <w:i/>
          <w:iCs/>
          <w:sz w:val="22"/>
          <w:szCs w:val="22"/>
        </w:rPr>
        <w:t xml:space="preserve"> </w:t>
      </w:r>
      <w:r w:rsidRPr="000454BD">
        <w:rPr>
          <w:rFonts w:ascii="Arial" w:eastAsia="Calibri" w:hAnsi="Arial" w:cs="Arial"/>
          <w:bCs/>
          <w:sz w:val="22"/>
          <w:szCs w:val="22"/>
        </w:rPr>
        <w:t>One to two-day intensive institutes on special topics that engage key ALA authors and titles, or timely topics will be offered with the opportunity for participants to gain deep insight, get continued learning credit, and build a peer network.</w:t>
      </w:r>
    </w:p>
    <w:p w14:paraId="08F5DB06" w14:textId="77777777" w:rsidR="000454BD" w:rsidRPr="000454BD" w:rsidRDefault="000454BD" w:rsidP="000454BD">
      <w:pPr>
        <w:numPr>
          <w:ilvl w:val="0"/>
          <w:numId w:val="18"/>
        </w:numPr>
        <w:spacing w:after="120" w:line="259" w:lineRule="auto"/>
        <w:contextualSpacing/>
        <w:rPr>
          <w:rFonts w:ascii="Arial" w:eastAsia="Calibri" w:hAnsi="Arial" w:cs="Arial"/>
          <w:bCs/>
          <w:sz w:val="22"/>
          <w:szCs w:val="22"/>
        </w:rPr>
      </w:pPr>
      <w:r w:rsidRPr="000454BD">
        <w:rPr>
          <w:rFonts w:ascii="Arial" w:eastAsia="Calibri" w:hAnsi="Arial" w:cs="Arial"/>
          <w:b/>
          <w:bCs/>
          <w:i/>
          <w:iCs/>
          <w:sz w:val="22"/>
          <w:szCs w:val="22"/>
        </w:rPr>
        <w:t>Inspirational Keynotes</w:t>
      </w:r>
      <w:r w:rsidRPr="000454BD">
        <w:rPr>
          <w:rFonts w:ascii="Arial" w:eastAsia="Calibri" w:hAnsi="Arial" w:cs="Arial"/>
          <w:sz w:val="22"/>
          <w:szCs w:val="22"/>
        </w:rPr>
        <w:t xml:space="preserve">: </w:t>
      </w:r>
      <w:r w:rsidRPr="000454BD">
        <w:rPr>
          <w:rFonts w:ascii="Arial" w:eastAsia="Calibri" w:hAnsi="Arial" w:cs="Arial"/>
          <w:bCs/>
          <w:sz w:val="22"/>
          <w:szCs w:val="22"/>
        </w:rPr>
        <w:t>The strategic use of keynote speakers will be a central factor for success of LibLearnX by identifying thought-leaders and authors who can inspire action within the library professional community and expand on the central event theme and topical areas.</w:t>
      </w:r>
    </w:p>
    <w:p w14:paraId="5AE023B5" w14:textId="77777777" w:rsidR="000454BD" w:rsidRPr="000454BD" w:rsidRDefault="000454BD" w:rsidP="000454BD">
      <w:pPr>
        <w:numPr>
          <w:ilvl w:val="0"/>
          <w:numId w:val="18"/>
        </w:numPr>
        <w:spacing w:after="120" w:line="259" w:lineRule="auto"/>
        <w:contextualSpacing/>
        <w:rPr>
          <w:rFonts w:ascii="Arial" w:eastAsia="Calibri" w:hAnsi="Arial" w:cs="Arial"/>
          <w:bCs/>
          <w:sz w:val="22"/>
          <w:szCs w:val="22"/>
        </w:rPr>
      </w:pPr>
      <w:r w:rsidRPr="000454BD">
        <w:rPr>
          <w:rFonts w:ascii="Arial" w:eastAsia="Calibri" w:hAnsi="Arial" w:cs="Arial"/>
          <w:b/>
          <w:bCs/>
          <w:i/>
          <w:iCs/>
          <w:sz w:val="22"/>
          <w:szCs w:val="22"/>
        </w:rPr>
        <w:t>Extended Learning</w:t>
      </w:r>
      <w:r w:rsidRPr="000454BD">
        <w:rPr>
          <w:rFonts w:ascii="Arial" w:eastAsia="Calibri" w:hAnsi="Arial" w:cs="Arial"/>
          <w:bCs/>
          <w:sz w:val="22"/>
          <w:szCs w:val="22"/>
        </w:rPr>
        <w:t xml:space="preserve">: </w:t>
      </w:r>
      <w:r w:rsidRPr="000454BD">
        <w:rPr>
          <w:rFonts w:ascii="Arial" w:eastAsia="Calibri" w:hAnsi="Arial" w:cs="Arial"/>
          <w:sz w:val="22"/>
          <w:szCs w:val="22"/>
        </w:rPr>
        <w:t>Encourage content submissions from established CE providers, in-demand subject matter experts, respected library consultants and publishers and interweave educational spaces and experiences into the overall hall and exhibit booth design.</w:t>
      </w:r>
    </w:p>
    <w:p w14:paraId="63C6CF3D" w14:textId="77777777" w:rsidR="000454BD" w:rsidRPr="000454BD" w:rsidRDefault="000454BD" w:rsidP="000454BD">
      <w:pPr>
        <w:ind w:left="720"/>
        <w:contextualSpacing/>
        <w:rPr>
          <w:rFonts w:ascii="Arial" w:eastAsia="Calibri" w:hAnsi="Arial" w:cs="Arial"/>
          <w:bCs/>
          <w:sz w:val="22"/>
          <w:szCs w:val="22"/>
        </w:rPr>
      </w:pPr>
    </w:p>
    <w:p w14:paraId="5D0933FF" w14:textId="77777777" w:rsidR="000454BD" w:rsidRPr="000454BD" w:rsidRDefault="000454BD" w:rsidP="000454BD">
      <w:pPr>
        <w:spacing w:line="259" w:lineRule="auto"/>
        <w:rPr>
          <w:rFonts w:ascii="Arial" w:eastAsia="Calibri" w:hAnsi="Arial" w:cs="Arial"/>
          <w:b/>
          <w:i/>
          <w:sz w:val="22"/>
          <w:szCs w:val="22"/>
        </w:rPr>
      </w:pPr>
      <w:r w:rsidRPr="000454BD">
        <w:rPr>
          <w:rFonts w:ascii="Arial" w:eastAsia="Calibri" w:hAnsi="Arial" w:cs="Arial"/>
          <w:b/>
          <w:i/>
          <w:sz w:val="22"/>
          <w:szCs w:val="22"/>
        </w:rPr>
        <w:t>Special Features</w:t>
      </w:r>
    </w:p>
    <w:p w14:paraId="451C9980" w14:textId="77777777" w:rsidR="000454BD" w:rsidRPr="000454BD" w:rsidRDefault="000454BD" w:rsidP="000454BD">
      <w:pPr>
        <w:numPr>
          <w:ilvl w:val="0"/>
          <w:numId w:val="21"/>
        </w:numPr>
        <w:spacing w:after="160" w:line="259" w:lineRule="auto"/>
        <w:contextualSpacing/>
        <w:rPr>
          <w:rFonts w:ascii="Arial" w:eastAsia="Calibri" w:hAnsi="Arial" w:cs="Arial"/>
          <w:sz w:val="22"/>
          <w:szCs w:val="22"/>
        </w:rPr>
      </w:pPr>
      <w:r w:rsidRPr="000454BD">
        <w:rPr>
          <w:rFonts w:ascii="Arial" w:eastAsia="Calibri" w:hAnsi="Arial" w:cs="Arial"/>
          <w:b/>
          <w:sz w:val="22"/>
          <w:szCs w:val="22"/>
        </w:rPr>
        <w:t>ALA Gives Back:</w:t>
      </w:r>
      <w:r w:rsidRPr="000454BD">
        <w:rPr>
          <w:rFonts w:ascii="Arial" w:eastAsia="Calibri" w:hAnsi="Arial" w:cs="Arial"/>
          <w:sz w:val="22"/>
          <w:szCs w:val="22"/>
        </w:rPr>
        <w:t xml:space="preserve"> As a best practice, LLX will incorporate a service initiative to give back to the local community. This is a rewarding enhancement to any conference experience.  A local affiliate will be designated as a site for a hands-on community service opportunity encouraging staff and registrant participation.</w:t>
      </w:r>
      <w:r w:rsidRPr="000454BD">
        <w:rPr>
          <w:rFonts w:ascii="Arial" w:eastAsia="Calibri" w:hAnsi="Arial" w:cs="Arial"/>
          <w:b/>
          <w:sz w:val="22"/>
          <w:szCs w:val="22"/>
        </w:rPr>
        <w:t xml:space="preserve"> </w:t>
      </w:r>
    </w:p>
    <w:p w14:paraId="7539917F" w14:textId="77777777" w:rsidR="000454BD" w:rsidRPr="000454BD" w:rsidRDefault="000454BD" w:rsidP="000454BD">
      <w:pPr>
        <w:numPr>
          <w:ilvl w:val="0"/>
          <w:numId w:val="21"/>
        </w:numPr>
        <w:spacing w:after="160" w:line="259" w:lineRule="auto"/>
        <w:contextualSpacing/>
        <w:rPr>
          <w:rFonts w:ascii="Arial" w:eastAsia="Calibri" w:hAnsi="Arial" w:cs="Arial"/>
          <w:sz w:val="22"/>
          <w:szCs w:val="22"/>
        </w:rPr>
      </w:pPr>
      <w:r w:rsidRPr="000454BD">
        <w:rPr>
          <w:rFonts w:ascii="Arial" w:eastAsia="Calibri" w:hAnsi="Arial" w:cs="Arial"/>
          <w:b/>
          <w:sz w:val="22"/>
          <w:szCs w:val="22"/>
        </w:rPr>
        <w:t>LLX Studio:</w:t>
      </w:r>
      <w:r w:rsidRPr="000454BD">
        <w:rPr>
          <w:rFonts w:ascii="Arial" w:eastAsia="Calibri" w:hAnsi="Arial" w:cs="Arial"/>
          <w:sz w:val="22"/>
          <w:szCs w:val="22"/>
        </w:rPr>
        <w:t xml:space="preserve"> A hybrid presentation model will give speakers the opportunity to present virtually without the limitation of space, time, or location. This offers a hybrid learning experience for in-person attendees and allows for a cohesive learning experience for virtual registrants.</w:t>
      </w:r>
    </w:p>
    <w:p w14:paraId="3C8FB8B6" w14:textId="77777777" w:rsidR="000454BD" w:rsidRPr="000454BD" w:rsidRDefault="000454BD" w:rsidP="000454BD">
      <w:pPr>
        <w:numPr>
          <w:ilvl w:val="0"/>
          <w:numId w:val="21"/>
        </w:numPr>
        <w:spacing w:after="160" w:line="259" w:lineRule="auto"/>
        <w:contextualSpacing/>
        <w:rPr>
          <w:rFonts w:ascii="Arial" w:eastAsia="Calibri" w:hAnsi="Arial" w:cs="Arial"/>
          <w:b/>
          <w:bCs/>
          <w:sz w:val="22"/>
          <w:szCs w:val="22"/>
        </w:rPr>
      </w:pPr>
      <w:r w:rsidRPr="000454BD">
        <w:rPr>
          <w:rFonts w:ascii="Arial" w:eastAsia="Calibri" w:hAnsi="Arial" w:cs="Arial"/>
          <w:b/>
          <w:sz w:val="22"/>
          <w:szCs w:val="22"/>
        </w:rPr>
        <w:t>I Love My Librarian</w:t>
      </w:r>
      <w:r w:rsidRPr="000454BD">
        <w:rPr>
          <w:rFonts w:ascii="Arial" w:eastAsia="Calibri" w:hAnsi="Arial" w:cs="Arial"/>
          <w:sz w:val="22"/>
          <w:szCs w:val="22"/>
        </w:rPr>
        <w:t xml:space="preserve"> </w:t>
      </w:r>
      <w:r w:rsidRPr="000454BD">
        <w:rPr>
          <w:rFonts w:ascii="Arial" w:eastAsia="Calibri" w:hAnsi="Arial" w:cs="Arial"/>
          <w:b/>
          <w:sz w:val="22"/>
          <w:szCs w:val="22"/>
        </w:rPr>
        <w:t>Awards</w:t>
      </w:r>
      <w:r w:rsidRPr="000454BD">
        <w:rPr>
          <w:rFonts w:ascii="Arial" w:eastAsia="Calibri" w:hAnsi="Arial" w:cs="Arial"/>
          <w:sz w:val="22"/>
          <w:szCs w:val="22"/>
        </w:rPr>
        <w:t>: Each year, the I Love My Librarian Award invites library users to recognize the accomplishments of exceptional public, school, college, community college, or university librarians. Ten librarians are selected in recognition of their outstanding public service.</w:t>
      </w:r>
    </w:p>
    <w:p w14:paraId="3EADA7CF" w14:textId="77777777" w:rsidR="00527EA9" w:rsidRPr="00527EA9" w:rsidRDefault="000454BD" w:rsidP="00781E29">
      <w:pPr>
        <w:numPr>
          <w:ilvl w:val="0"/>
          <w:numId w:val="21"/>
        </w:numPr>
        <w:spacing w:after="160" w:line="259" w:lineRule="auto"/>
        <w:contextualSpacing/>
        <w:rPr>
          <w:rFonts w:ascii="Arial" w:eastAsia="Calibri" w:hAnsi="Arial" w:cs="Arial"/>
          <w:sz w:val="22"/>
          <w:szCs w:val="22"/>
        </w:rPr>
      </w:pPr>
      <w:r w:rsidRPr="00570102">
        <w:rPr>
          <w:rFonts w:ascii="Arial" w:eastAsia="Calibri" w:hAnsi="Arial" w:cs="Arial"/>
          <w:b/>
          <w:bCs/>
          <w:sz w:val="22"/>
          <w:szCs w:val="22"/>
        </w:rPr>
        <w:t xml:space="preserve">Youth Media Awards: </w:t>
      </w:r>
      <w:r w:rsidRPr="00570102">
        <w:rPr>
          <w:rFonts w:ascii="Arial" w:eastAsia="Calibri" w:hAnsi="Arial" w:cs="Arial"/>
          <w:sz w:val="22"/>
          <w:szCs w:val="22"/>
        </w:rPr>
        <w:t>Each year the American Library Association honors books, videos, and other outstanding materials for children and teens. Recognized worldwide for the high quality they represent, the ALA Youth Media Awards, including the prestigious Newbery, Caldecott, Printz, and Coretta Scott King Book Awards, guide parents, educators, librarians, and others in selecting the best materials for youth.</w:t>
      </w:r>
      <w:r w:rsidRPr="00570102">
        <w:rPr>
          <w:rFonts w:ascii="Arial" w:eastAsia="Calibri" w:hAnsi="Arial" w:cs="Arial"/>
          <w:b/>
          <w:bCs/>
          <w:sz w:val="22"/>
          <w:szCs w:val="22"/>
        </w:rPr>
        <w:t> </w:t>
      </w:r>
    </w:p>
    <w:p w14:paraId="34F78E8B" w14:textId="5AEFDAE7" w:rsidR="00570102" w:rsidRPr="00570102" w:rsidRDefault="00570102" w:rsidP="00781E29">
      <w:pPr>
        <w:numPr>
          <w:ilvl w:val="0"/>
          <w:numId w:val="21"/>
        </w:numPr>
        <w:spacing w:after="160" w:line="259" w:lineRule="auto"/>
        <w:contextualSpacing/>
        <w:rPr>
          <w:rFonts w:ascii="Arial" w:eastAsia="Calibri" w:hAnsi="Arial" w:cs="Arial"/>
          <w:sz w:val="22"/>
          <w:szCs w:val="22"/>
        </w:rPr>
      </w:pPr>
      <w:r w:rsidRPr="00570102">
        <w:rPr>
          <w:rFonts w:ascii="Arial" w:eastAsia="Calibri" w:hAnsi="Arial" w:cs="Arial"/>
          <w:b/>
          <w:bCs/>
          <w:sz w:val="22"/>
          <w:szCs w:val="22"/>
        </w:rPr>
        <w:t xml:space="preserve">Andrew Carnegie Medals for Excellence in Fiction and Nonfiction: </w:t>
      </w:r>
      <w:r w:rsidRPr="00570102">
        <w:rPr>
          <w:rFonts w:ascii="Arial" w:eastAsia="Calibri" w:hAnsi="Arial" w:cs="Arial"/>
          <w:sz w:val="22"/>
          <w:szCs w:val="22"/>
        </w:rPr>
        <w:t>Recognizing the best fiction and nonfiction books for adult readers published in the U.S. in the previous year and serving as a guide to help adults select quality reading material. These annual awards reflect the expert judgment and insight of library professionals who work closely with adult readers.</w:t>
      </w:r>
    </w:p>
    <w:p w14:paraId="62614BBE" w14:textId="77777777" w:rsidR="00F87DFC" w:rsidRDefault="00F87DFC" w:rsidP="000454BD">
      <w:pPr>
        <w:spacing w:before="240" w:line="259" w:lineRule="auto"/>
        <w:contextualSpacing/>
        <w:rPr>
          <w:rFonts w:ascii="Arial" w:eastAsia="Calibri" w:hAnsi="Arial" w:cs="Arial"/>
          <w:sz w:val="22"/>
          <w:szCs w:val="22"/>
        </w:rPr>
      </w:pPr>
    </w:p>
    <w:p w14:paraId="5CD4C643" w14:textId="50AEF106" w:rsidR="000454BD" w:rsidRPr="000454BD" w:rsidRDefault="000454BD" w:rsidP="000454BD">
      <w:pPr>
        <w:spacing w:before="240" w:line="259" w:lineRule="auto"/>
        <w:contextualSpacing/>
        <w:rPr>
          <w:rFonts w:ascii="Arial" w:eastAsia="Calibri" w:hAnsi="Arial" w:cs="Arial"/>
          <w:b/>
          <w:sz w:val="22"/>
          <w:szCs w:val="22"/>
          <w:u w:val="single"/>
        </w:rPr>
      </w:pPr>
      <w:r w:rsidRPr="000454BD">
        <w:rPr>
          <w:rFonts w:ascii="Arial" w:eastAsia="Calibri" w:hAnsi="Arial" w:cs="Arial"/>
          <w:sz w:val="22"/>
          <w:szCs w:val="22"/>
        </w:rPr>
        <w:br/>
      </w:r>
      <w:r w:rsidRPr="000454BD">
        <w:rPr>
          <w:rFonts w:ascii="Arial" w:eastAsia="Calibri" w:hAnsi="Arial" w:cs="Arial"/>
          <w:b/>
          <w:sz w:val="22"/>
          <w:szCs w:val="22"/>
          <w:u w:val="single"/>
        </w:rPr>
        <w:t>Target Market Segments</w:t>
      </w:r>
    </w:p>
    <w:p w14:paraId="69C6D792" w14:textId="77777777" w:rsidR="000454BD" w:rsidRPr="000454BD" w:rsidRDefault="000454BD" w:rsidP="000454BD">
      <w:pPr>
        <w:spacing w:before="240" w:line="259" w:lineRule="auto"/>
        <w:contextualSpacing/>
        <w:rPr>
          <w:rFonts w:ascii="Arial" w:eastAsia="Calibri" w:hAnsi="Arial" w:cs="Arial"/>
          <w:b/>
          <w:sz w:val="22"/>
          <w:szCs w:val="22"/>
          <w:u w:val="single"/>
        </w:rPr>
      </w:pPr>
    </w:p>
    <w:tbl>
      <w:tblPr>
        <w:tblStyle w:val="TableGrid1"/>
        <w:tblpPr w:leftFromText="180" w:rightFromText="180" w:vertAnchor="text" w:horzAnchor="margin" w:tblpXSpec="center" w:tblpY="-9"/>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521"/>
      </w:tblGrid>
      <w:tr w:rsidR="000454BD" w:rsidRPr="000454BD" w14:paraId="0CA3D51A" w14:textId="77777777" w:rsidTr="001E7F52">
        <w:tc>
          <w:tcPr>
            <w:tcW w:w="6667" w:type="dxa"/>
          </w:tcPr>
          <w:p w14:paraId="0C48F713"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Past ALA Annual Conference/Midwinter attendees/exhibitors</w:t>
            </w:r>
          </w:p>
        </w:tc>
        <w:tc>
          <w:tcPr>
            <w:tcW w:w="3521" w:type="dxa"/>
          </w:tcPr>
          <w:p w14:paraId="663B511E"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ALA-APA members</w:t>
            </w:r>
          </w:p>
        </w:tc>
      </w:tr>
      <w:tr w:rsidR="000454BD" w:rsidRPr="000454BD" w14:paraId="02BEF9DD" w14:textId="77777777" w:rsidTr="001E7F52">
        <w:tc>
          <w:tcPr>
            <w:tcW w:w="6667" w:type="dxa"/>
          </w:tcPr>
          <w:p w14:paraId="0432FAD3"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Local library workers, educators, other constituencies</w:t>
            </w:r>
          </w:p>
        </w:tc>
        <w:tc>
          <w:tcPr>
            <w:tcW w:w="3521" w:type="dxa"/>
          </w:tcPr>
          <w:p w14:paraId="32CD22DB"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Regional chapters</w:t>
            </w:r>
          </w:p>
        </w:tc>
      </w:tr>
      <w:tr w:rsidR="000454BD" w:rsidRPr="000454BD" w14:paraId="5F49DE5E" w14:textId="77777777" w:rsidTr="001E7F52">
        <w:tc>
          <w:tcPr>
            <w:tcW w:w="6667" w:type="dxa"/>
          </w:tcPr>
          <w:p w14:paraId="73843FA4"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Members not previously attended the ALA Annual Conference</w:t>
            </w:r>
          </w:p>
        </w:tc>
        <w:tc>
          <w:tcPr>
            <w:tcW w:w="3521" w:type="dxa"/>
          </w:tcPr>
          <w:p w14:paraId="338A64CD"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Library directors</w:t>
            </w:r>
          </w:p>
        </w:tc>
      </w:tr>
      <w:tr w:rsidR="000454BD" w:rsidRPr="000454BD" w14:paraId="24E405AC" w14:textId="77777777" w:rsidTr="001E7F52">
        <w:tc>
          <w:tcPr>
            <w:tcW w:w="6667" w:type="dxa"/>
          </w:tcPr>
          <w:p w14:paraId="2FE4AA72"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 xml:space="preserve">First timers from the 2019 ALA Annual Conference </w:t>
            </w:r>
          </w:p>
        </w:tc>
        <w:tc>
          <w:tcPr>
            <w:tcW w:w="3521" w:type="dxa"/>
          </w:tcPr>
          <w:p w14:paraId="726B9946"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New LIS Managers</w:t>
            </w:r>
          </w:p>
        </w:tc>
      </w:tr>
      <w:tr w:rsidR="000454BD" w:rsidRPr="000454BD" w14:paraId="52B0C977" w14:textId="77777777" w:rsidTr="001E7F52">
        <w:tc>
          <w:tcPr>
            <w:tcW w:w="6667" w:type="dxa"/>
          </w:tcPr>
          <w:p w14:paraId="5ABA590C"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International library workers – specifically Canada*</w:t>
            </w:r>
          </w:p>
        </w:tc>
        <w:tc>
          <w:tcPr>
            <w:tcW w:w="3521" w:type="dxa"/>
          </w:tcPr>
          <w:p w14:paraId="39F6F8BA"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Early career LIS professionals</w:t>
            </w:r>
          </w:p>
        </w:tc>
      </w:tr>
      <w:tr w:rsidR="000454BD" w:rsidRPr="000454BD" w14:paraId="3F2D2528" w14:textId="77777777" w:rsidTr="001E7F52">
        <w:tc>
          <w:tcPr>
            <w:tcW w:w="6667" w:type="dxa"/>
          </w:tcPr>
          <w:p w14:paraId="632DC886"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Members within 200 miles of LLX location</w:t>
            </w:r>
          </w:p>
        </w:tc>
        <w:tc>
          <w:tcPr>
            <w:tcW w:w="3521" w:type="dxa"/>
          </w:tcPr>
          <w:p w14:paraId="6E72A4E7"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ALA Virtual 2020 first timers</w:t>
            </w:r>
          </w:p>
        </w:tc>
      </w:tr>
      <w:tr w:rsidR="000454BD" w:rsidRPr="000454BD" w14:paraId="48E2FADF" w14:textId="77777777" w:rsidTr="001E7F52">
        <w:tc>
          <w:tcPr>
            <w:tcW w:w="10188" w:type="dxa"/>
            <w:gridSpan w:val="2"/>
          </w:tcPr>
          <w:p w14:paraId="41F75775" w14:textId="77777777" w:rsidR="000454BD" w:rsidRPr="000454BD" w:rsidRDefault="000454BD" w:rsidP="000454BD">
            <w:pPr>
              <w:numPr>
                <w:ilvl w:val="0"/>
                <w:numId w:val="23"/>
              </w:numPr>
              <w:contextualSpacing/>
              <w:rPr>
                <w:rFonts w:ascii="Arial" w:hAnsi="Arial" w:cs="Arial"/>
              </w:rPr>
            </w:pPr>
            <w:r w:rsidRPr="000454BD">
              <w:rPr>
                <w:rFonts w:ascii="Arial" w:hAnsi="Arial" w:cs="Arial"/>
              </w:rPr>
              <w:t>Non-librarian library workers (with HR, diversity, finance, IT functions)</w:t>
            </w:r>
          </w:p>
        </w:tc>
      </w:tr>
    </w:tbl>
    <w:p w14:paraId="291FDB1C" w14:textId="4E036A2E" w:rsidR="00F87DFC" w:rsidRDefault="000454BD" w:rsidP="000454BD">
      <w:pPr>
        <w:spacing w:line="259" w:lineRule="auto"/>
        <w:rPr>
          <w:rFonts w:ascii="Arial" w:eastAsia="Calibri" w:hAnsi="Arial" w:cs="Arial"/>
          <w:b/>
          <w:sz w:val="22"/>
          <w:szCs w:val="22"/>
          <w:u w:val="single"/>
        </w:rPr>
      </w:pPr>
      <w:r w:rsidRPr="000454BD">
        <w:rPr>
          <w:rFonts w:ascii="Arial" w:eastAsia="Calibri" w:hAnsi="Arial" w:cs="Arial"/>
          <w:b/>
          <w:bCs/>
          <w:sz w:val="22"/>
          <w:szCs w:val="22"/>
        </w:rPr>
        <w:br w:type="textWrapping" w:clear="all"/>
        <w:t>*</w:t>
      </w:r>
      <w:r w:rsidRPr="000454BD">
        <w:rPr>
          <w:rFonts w:ascii="Arial" w:eastAsia="Calibri" w:hAnsi="Arial" w:cs="Arial"/>
          <w:bCs/>
          <w:sz w:val="22"/>
          <w:szCs w:val="22"/>
        </w:rPr>
        <w:t xml:space="preserve"> </w:t>
      </w:r>
      <w:r w:rsidRPr="000454BD">
        <w:rPr>
          <w:rFonts w:ascii="Arial" w:eastAsia="Calibri" w:hAnsi="Arial" w:cs="Arial"/>
          <w:bCs/>
          <w:i/>
          <w:iCs/>
          <w:sz w:val="22"/>
          <w:szCs w:val="22"/>
        </w:rPr>
        <w:t>Canadian library workers</w:t>
      </w:r>
      <w:r w:rsidR="00400B2A">
        <w:rPr>
          <w:rFonts w:ascii="Arial" w:eastAsia="Calibri" w:hAnsi="Arial" w:cs="Arial"/>
          <w:bCs/>
          <w:i/>
          <w:iCs/>
          <w:sz w:val="22"/>
          <w:szCs w:val="22"/>
        </w:rPr>
        <w:t>,</w:t>
      </w:r>
      <w:r w:rsidRPr="000454BD">
        <w:rPr>
          <w:rFonts w:ascii="Arial" w:eastAsia="Calibri" w:hAnsi="Arial" w:cs="Arial"/>
          <w:bCs/>
          <w:i/>
          <w:iCs/>
          <w:sz w:val="22"/>
          <w:szCs w:val="22"/>
        </w:rPr>
        <w:t xml:space="preserve"> as a specific target audience</w:t>
      </w:r>
      <w:r w:rsidR="00400B2A">
        <w:rPr>
          <w:rFonts w:ascii="Arial" w:eastAsia="Calibri" w:hAnsi="Arial" w:cs="Arial"/>
          <w:bCs/>
          <w:i/>
          <w:iCs/>
          <w:sz w:val="22"/>
          <w:szCs w:val="22"/>
        </w:rPr>
        <w:t>,</w:t>
      </w:r>
      <w:r w:rsidRPr="000454BD">
        <w:rPr>
          <w:rFonts w:ascii="Arial" w:eastAsia="Calibri" w:hAnsi="Arial" w:cs="Arial"/>
          <w:bCs/>
          <w:i/>
          <w:iCs/>
          <w:sz w:val="22"/>
          <w:szCs w:val="22"/>
        </w:rPr>
        <w:t xml:space="preserve"> present a unique opportunity for LibLearnX. In 2016 the Canadian Library Association membership voted for dissolution of the organization and announced the creation of a Canadian federation of library associations.</w:t>
      </w:r>
      <w:r w:rsidRPr="000454BD">
        <w:rPr>
          <w:rFonts w:ascii="Arial" w:eastAsia="Calibri" w:hAnsi="Arial" w:cs="Arial"/>
          <w:bCs/>
          <w:i/>
          <w:iCs/>
          <w:sz w:val="22"/>
          <w:szCs w:val="22"/>
        </w:rPr>
        <w:br/>
      </w:r>
    </w:p>
    <w:p w14:paraId="7288F1C9" w14:textId="77777777" w:rsidR="009578C8" w:rsidRDefault="000454BD" w:rsidP="000454BD">
      <w:pPr>
        <w:spacing w:line="259" w:lineRule="auto"/>
        <w:rPr>
          <w:rFonts w:ascii="Arial" w:eastAsia="Calibri" w:hAnsi="Arial" w:cs="Arial"/>
          <w:b/>
          <w:sz w:val="22"/>
          <w:szCs w:val="22"/>
          <w:u w:val="single"/>
        </w:rPr>
      </w:pPr>
      <w:r w:rsidRPr="000454BD">
        <w:rPr>
          <w:rFonts w:ascii="Arial" w:eastAsia="Calibri" w:hAnsi="Arial" w:cs="Arial"/>
          <w:b/>
          <w:sz w:val="22"/>
          <w:szCs w:val="22"/>
          <w:u w:val="single"/>
        </w:rPr>
        <w:br/>
      </w:r>
    </w:p>
    <w:p w14:paraId="46BF0EE9" w14:textId="5A510DBD" w:rsidR="000454BD" w:rsidRPr="000454BD" w:rsidRDefault="000454BD" w:rsidP="000454BD">
      <w:pPr>
        <w:spacing w:line="259" w:lineRule="auto"/>
        <w:rPr>
          <w:rFonts w:ascii="Arial" w:eastAsia="Calibri" w:hAnsi="Arial" w:cs="Arial"/>
          <w:sz w:val="22"/>
          <w:szCs w:val="22"/>
        </w:rPr>
      </w:pPr>
      <w:r w:rsidRPr="000454BD">
        <w:rPr>
          <w:rFonts w:ascii="Arial" w:eastAsia="Calibri" w:hAnsi="Arial" w:cs="Arial"/>
          <w:b/>
          <w:sz w:val="22"/>
          <w:szCs w:val="22"/>
          <w:u w:val="single"/>
        </w:rPr>
        <w:lastRenderedPageBreak/>
        <w:t xml:space="preserve">Promotion </w:t>
      </w:r>
      <w:r w:rsidRPr="000454BD">
        <w:rPr>
          <w:rFonts w:ascii="Arial" w:eastAsia="Calibri" w:hAnsi="Arial" w:cs="Arial"/>
          <w:sz w:val="22"/>
          <w:szCs w:val="22"/>
        </w:rPr>
        <w:br/>
        <w:t xml:space="preserve">The marketing launch of LibLearnX will begin one-year out with the following targets for the promotion schedule (subject to change): </w:t>
      </w:r>
    </w:p>
    <w:p w14:paraId="2AABC894"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Official Announcement: January 2021</w:t>
      </w:r>
    </w:p>
    <w:p w14:paraId="1B3A97A1"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Promotion Teaser</w:t>
      </w:r>
    </w:p>
    <w:p w14:paraId="31D7C85E"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Website Live</w:t>
      </w:r>
    </w:p>
    <w:p w14:paraId="3E2E7F90"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Exhibitor Prospectus and Pricing</w:t>
      </w:r>
    </w:p>
    <w:p w14:paraId="18E080BF" w14:textId="77777777" w:rsidR="000454BD" w:rsidRPr="000454BD" w:rsidRDefault="000454BD" w:rsidP="000454BD">
      <w:pPr>
        <w:numPr>
          <w:ilvl w:val="1"/>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Registration and Destination information</w:t>
      </w:r>
    </w:p>
    <w:p w14:paraId="77B7D329"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Call for Proposals Open: April 2021</w:t>
      </w:r>
    </w:p>
    <w:p w14:paraId="622CB970"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Announce Program Sessions: September 2021</w:t>
      </w:r>
    </w:p>
    <w:p w14:paraId="68D2ED1B" w14:textId="77777777" w:rsidR="000454BD" w:rsidRPr="000454BD" w:rsidRDefault="000454BD" w:rsidP="000454BD">
      <w:pPr>
        <w:numPr>
          <w:ilvl w:val="0"/>
          <w:numId w:val="20"/>
        </w:numPr>
        <w:spacing w:before="240" w:after="160" w:line="259" w:lineRule="auto"/>
        <w:contextualSpacing/>
        <w:rPr>
          <w:rFonts w:ascii="Arial" w:eastAsia="Calibri" w:hAnsi="Arial" w:cs="Arial"/>
          <w:sz w:val="22"/>
          <w:szCs w:val="22"/>
        </w:rPr>
      </w:pPr>
      <w:r w:rsidRPr="000454BD">
        <w:rPr>
          <w:rFonts w:ascii="Arial" w:eastAsia="Calibri" w:hAnsi="Arial" w:cs="Arial"/>
          <w:sz w:val="22"/>
          <w:szCs w:val="22"/>
        </w:rPr>
        <w:t>Registration/Housing Opens: October 2021</w:t>
      </w:r>
    </w:p>
    <w:p w14:paraId="7EDF0277" w14:textId="46258E20" w:rsidR="000454BD" w:rsidRDefault="000454BD" w:rsidP="000454BD">
      <w:pPr>
        <w:spacing w:before="240" w:after="160" w:line="259" w:lineRule="auto"/>
        <w:ind w:left="720"/>
        <w:contextualSpacing/>
        <w:rPr>
          <w:rFonts w:ascii="Arial" w:eastAsia="Calibri" w:hAnsi="Arial" w:cs="Arial"/>
          <w:sz w:val="22"/>
          <w:szCs w:val="22"/>
        </w:rPr>
      </w:pPr>
    </w:p>
    <w:p w14:paraId="29CA2A02" w14:textId="77777777" w:rsidR="00F87DFC" w:rsidRPr="000454BD" w:rsidRDefault="00F87DFC" w:rsidP="000454BD">
      <w:pPr>
        <w:spacing w:before="240" w:after="160" w:line="259" w:lineRule="auto"/>
        <w:ind w:left="720"/>
        <w:contextualSpacing/>
        <w:rPr>
          <w:rFonts w:ascii="Arial" w:eastAsia="Calibri" w:hAnsi="Arial" w:cs="Arial"/>
          <w:sz w:val="22"/>
          <w:szCs w:val="22"/>
        </w:rPr>
      </w:pPr>
    </w:p>
    <w:p w14:paraId="4C6E9161" w14:textId="77777777" w:rsidR="000454BD" w:rsidRPr="000454BD" w:rsidRDefault="000454BD" w:rsidP="000454BD">
      <w:pPr>
        <w:spacing w:after="160" w:line="259" w:lineRule="auto"/>
        <w:rPr>
          <w:rFonts w:ascii="Arial" w:eastAsia="Calibri" w:hAnsi="Arial" w:cs="Arial"/>
          <w:sz w:val="22"/>
          <w:szCs w:val="22"/>
        </w:rPr>
      </w:pPr>
      <w:r w:rsidRPr="000454BD">
        <w:rPr>
          <w:rFonts w:ascii="Arial" w:eastAsia="Calibri" w:hAnsi="Arial" w:cs="Arial"/>
          <w:b/>
          <w:sz w:val="22"/>
          <w:szCs w:val="22"/>
          <w:u w:val="single"/>
        </w:rPr>
        <w:t>Communication Strategy</w:t>
      </w:r>
      <w:r w:rsidRPr="000454BD">
        <w:rPr>
          <w:rFonts w:ascii="Arial" w:eastAsia="Calibri" w:hAnsi="Arial" w:cs="Arial"/>
          <w:b/>
          <w:sz w:val="22"/>
          <w:szCs w:val="22"/>
          <w:u w:val="single"/>
        </w:rPr>
        <w:br/>
      </w:r>
      <w:r w:rsidRPr="000454BD">
        <w:rPr>
          <w:rFonts w:ascii="Arial" w:eastAsia="Calibri" w:hAnsi="Arial" w:cs="Arial"/>
          <w:sz w:val="22"/>
          <w:szCs w:val="22"/>
        </w:rPr>
        <w:t>Each of the following should be clear and concise, directing recipients to the website using links and buttons. The website will have the most comprehensive information regarding the conference until the mobile app is launched closer to the time of the event.</w:t>
      </w:r>
    </w:p>
    <w:tbl>
      <w:tblPr>
        <w:tblStyle w:val="TableGrid1"/>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5944"/>
      </w:tblGrid>
      <w:tr w:rsidR="000454BD" w:rsidRPr="000454BD" w14:paraId="64E84FEE" w14:textId="77777777" w:rsidTr="00F87DFC">
        <w:tc>
          <w:tcPr>
            <w:tcW w:w="4043" w:type="dxa"/>
          </w:tcPr>
          <w:p w14:paraId="48CC23B5" w14:textId="5F4C3EAA" w:rsidR="000454BD" w:rsidRPr="000454BD" w:rsidRDefault="000454BD" w:rsidP="000454BD">
            <w:pPr>
              <w:numPr>
                <w:ilvl w:val="0"/>
                <w:numId w:val="19"/>
              </w:numPr>
              <w:ind w:left="342"/>
              <w:contextualSpacing/>
              <w:rPr>
                <w:rFonts w:ascii="Arial" w:hAnsi="Arial" w:cs="Arial"/>
              </w:rPr>
            </w:pPr>
            <w:r w:rsidRPr="000454BD">
              <w:rPr>
                <w:rFonts w:ascii="Arial" w:hAnsi="Arial" w:cs="Arial"/>
              </w:rPr>
              <w:t>Email (internal</w:t>
            </w:r>
            <w:r w:rsidR="00F87DFC">
              <w:rPr>
                <w:rFonts w:ascii="Arial" w:hAnsi="Arial" w:cs="Arial"/>
              </w:rPr>
              <w:t>/</w:t>
            </w:r>
            <w:r w:rsidRPr="000454BD">
              <w:rPr>
                <w:rFonts w:ascii="Arial" w:hAnsi="Arial" w:cs="Arial"/>
              </w:rPr>
              <w:t>registration vendor)</w:t>
            </w:r>
          </w:p>
        </w:tc>
        <w:tc>
          <w:tcPr>
            <w:tcW w:w="5944" w:type="dxa"/>
          </w:tcPr>
          <w:p w14:paraId="5A82BF0E" w14:textId="77777777" w:rsidR="000454BD" w:rsidRPr="000454BD" w:rsidRDefault="000454BD" w:rsidP="000454BD">
            <w:pPr>
              <w:numPr>
                <w:ilvl w:val="0"/>
                <w:numId w:val="19"/>
              </w:numPr>
              <w:ind w:left="372"/>
              <w:contextualSpacing/>
              <w:rPr>
                <w:rFonts w:ascii="Arial" w:hAnsi="Arial" w:cs="Arial"/>
              </w:rPr>
            </w:pPr>
            <w:r w:rsidRPr="000454BD">
              <w:rPr>
                <w:rFonts w:ascii="Arial" w:hAnsi="Arial" w:cs="Arial"/>
              </w:rPr>
              <w:t>Material marketing (printed collateral)</w:t>
            </w:r>
          </w:p>
        </w:tc>
      </w:tr>
      <w:tr w:rsidR="000454BD" w:rsidRPr="000454BD" w14:paraId="38560102" w14:textId="77777777" w:rsidTr="00F87DFC">
        <w:tc>
          <w:tcPr>
            <w:tcW w:w="4043" w:type="dxa"/>
          </w:tcPr>
          <w:p w14:paraId="3F4F411E" w14:textId="77777777" w:rsidR="000454BD" w:rsidRPr="000454BD" w:rsidRDefault="000454BD" w:rsidP="000454BD">
            <w:pPr>
              <w:numPr>
                <w:ilvl w:val="0"/>
                <w:numId w:val="19"/>
              </w:numPr>
              <w:ind w:left="342"/>
              <w:contextualSpacing/>
              <w:rPr>
                <w:rFonts w:ascii="Arial" w:hAnsi="Arial" w:cs="Arial"/>
              </w:rPr>
            </w:pPr>
            <w:r w:rsidRPr="000454BD">
              <w:rPr>
                <w:rFonts w:ascii="Arial" w:hAnsi="Arial" w:cs="Arial"/>
              </w:rPr>
              <w:t>LLX Website</w:t>
            </w:r>
          </w:p>
        </w:tc>
        <w:tc>
          <w:tcPr>
            <w:tcW w:w="5944" w:type="dxa"/>
          </w:tcPr>
          <w:p w14:paraId="5E81E5B4" w14:textId="77777777" w:rsidR="000454BD" w:rsidRPr="000454BD" w:rsidRDefault="000454BD" w:rsidP="000454BD">
            <w:pPr>
              <w:numPr>
                <w:ilvl w:val="0"/>
                <w:numId w:val="19"/>
              </w:numPr>
              <w:ind w:left="372"/>
              <w:contextualSpacing/>
              <w:rPr>
                <w:rFonts w:ascii="Arial" w:hAnsi="Arial" w:cs="Arial"/>
              </w:rPr>
            </w:pPr>
            <w:r w:rsidRPr="000454BD">
              <w:rPr>
                <w:rFonts w:ascii="Arial" w:hAnsi="Arial" w:cs="Arial"/>
              </w:rPr>
              <w:t>American Libraries (AL Direct, Daily Scoop, Web ads)</w:t>
            </w:r>
          </w:p>
        </w:tc>
      </w:tr>
      <w:tr w:rsidR="000454BD" w:rsidRPr="000454BD" w14:paraId="6205F6A6" w14:textId="77777777" w:rsidTr="00F87DFC">
        <w:tc>
          <w:tcPr>
            <w:tcW w:w="4043" w:type="dxa"/>
          </w:tcPr>
          <w:p w14:paraId="567182AA" w14:textId="77777777" w:rsidR="000454BD" w:rsidRPr="000454BD" w:rsidRDefault="000454BD" w:rsidP="000454BD">
            <w:pPr>
              <w:numPr>
                <w:ilvl w:val="0"/>
                <w:numId w:val="19"/>
              </w:numPr>
              <w:ind w:left="342"/>
              <w:contextualSpacing/>
              <w:rPr>
                <w:rFonts w:ascii="Arial" w:hAnsi="Arial" w:cs="Arial"/>
              </w:rPr>
            </w:pPr>
            <w:r w:rsidRPr="000454BD">
              <w:rPr>
                <w:rFonts w:ascii="Arial" w:hAnsi="Arial" w:cs="Arial"/>
              </w:rPr>
              <w:t>ALA.org homepage</w:t>
            </w:r>
          </w:p>
          <w:p w14:paraId="5BAEA4E6" w14:textId="77777777" w:rsidR="000454BD" w:rsidRPr="000454BD" w:rsidRDefault="000454BD" w:rsidP="000454BD">
            <w:pPr>
              <w:numPr>
                <w:ilvl w:val="0"/>
                <w:numId w:val="19"/>
              </w:numPr>
              <w:ind w:left="342"/>
              <w:contextualSpacing/>
              <w:rPr>
                <w:rFonts w:ascii="Arial" w:hAnsi="Arial" w:cs="Arial"/>
              </w:rPr>
            </w:pPr>
            <w:r w:rsidRPr="000454BD">
              <w:rPr>
                <w:rFonts w:ascii="Arial" w:hAnsi="Arial" w:cs="Arial"/>
              </w:rPr>
              <w:t>Social media channels</w:t>
            </w:r>
          </w:p>
        </w:tc>
        <w:tc>
          <w:tcPr>
            <w:tcW w:w="5944" w:type="dxa"/>
          </w:tcPr>
          <w:p w14:paraId="55F8F008" w14:textId="77777777" w:rsidR="000454BD" w:rsidRPr="000454BD" w:rsidRDefault="000454BD" w:rsidP="000454BD">
            <w:pPr>
              <w:numPr>
                <w:ilvl w:val="0"/>
                <w:numId w:val="19"/>
              </w:numPr>
              <w:ind w:left="410"/>
              <w:contextualSpacing/>
              <w:rPr>
                <w:rFonts w:ascii="Arial" w:hAnsi="Arial" w:cs="Arial"/>
              </w:rPr>
            </w:pPr>
            <w:r w:rsidRPr="000454BD">
              <w:rPr>
                <w:rFonts w:ascii="Arial" w:hAnsi="Arial" w:cs="Arial"/>
              </w:rPr>
              <w:t>Affiliate markets</w:t>
            </w:r>
          </w:p>
          <w:p w14:paraId="4A1D5300" w14:textId="77777777" w:rsidR="000454BD" w:rsidRPr="000454BD" w:rsidRDefault="000454BD" w:rsidP="000454BD">
            <w:pPr>
              <w:numPr>
                <w:ilvl w:val="0"/>
                <w:numId w:val="19"/>
              </w:numPr>
              <w:ind w:left="410"/>
              <w:contextualSpacing/>
              <w:rPr>
                <w:rFonts w:ascii="Arial" w:hAnsi="Arial" w:cs="Arial"/>
              </w:rPr>
            </w:pPr>
            <w:r w:rsidRPr="000454BD">
              <w:rPr>
                <w:rFonts w:ascii="Arial" w:hAnsi="Arial" w:cs="Arial"/>
              </w:rPr>
              <w:t>Chapters and state associations</w:t>
            </w:r>
          </w:p>
        </w:tc>
      </w:tr>
    </w:tbl>
    <w:p w14:paraId="19D41B5E" w14:textId="77777777" w:rsidR="000454BD" w:rsidRPr="000454BD" w:rsidRDefault="000454BD" w:rsidP="000454BD">
      <w:pPr>
        <w:spacing w:after="160" w:line="259" w:lineRule="auto"/>
        <w:rPr>
          <w:rFonts w:ascii="Arial" w:eastAsia="Calibri" w:hAnsi="Arial" w:cs="Arial"/>
          <w:b/>
          <w:sz w:val="22"/>
          <w:szCs w:val="22"/>
          <w:u w:val="single"/>
        </w:rPr>
      </w:pPr>
    </w:p>
    <w:p w14:paraId="792AAF8D" w14:textId="77777777" w:rsidR="000454BD" w:rsidRPr="000454BD" w:rsidRDefault="000454BD" w:rsidP="000454BD">
      <w:pPr>
        <w:spacing w:line="259" w:lineRule="auto"/>
        <w:rPr>
          <w:rFonts w:ascii="Arial" w:eastAsia="Calibri" w:hAnsi="Arial" w:cs="Arial"/>
          <w:b/>
          <w:bCs/>
          <w:sz w:val="22"/>
          <w:szCs w:val="22"/>
          <w:u w:val="single"/>
        </w:rPr>
      </w:pPr>
      <w:r w:rsidRPr="000454BD">
        <w:rPr>
          <w:rFonts w:ascii="Arial" w:eastAsia="Calibri" w:hAnsi="Arial" w:cs="Arial"/>
          <w:b/>
          <w:bCs/>
          <w:sz w:val="22"/>
          <w:szCs w:val="22"/>
          <w:u w:val="single"/>
        </w:rPr>
        <w:t>Locations</w:t>
      </w:r>
    </w:p>
    <w:p w14:paraId="759D9C38" w14:textId="674251D0" w:rsidR="000454BD" w:rsidRPr="000454BD" w:rsidRDefault="000454BD" w:rsidP="000454BD">
      <w:pPr>
        <w:autoSpaceDE w:val="0"/>
        <w:autoSpaceDN w:val="0"/>
        <w:adjustRightInd w:val="0"/>
        <w:rPr>
          <w:rFonts w:ascii="Arial" w:eastAsia="Calibri" w:hAnsi="Arial" w:cs="Arial"/>
          <w:sz w:val="22"/>
          <w:szCs w:val="22"/>
        </w:rPr>
      </w:pPr>
      <w:r w:rsidRPr="000454BD">
        <w:rPr>
          <w:rFonts w:ascii="Arial" w:eastAsia="Calibri" w:hAnsi="Arial" w:cs="Arial"/>
          <w:sz w:val="22"/>
          <w:szCs w:val="22"/>
        </w:rPr>
        <w:t>The goal to establish a site rotation plan which considers both geography and ALA membership is confirmed with a site rotation through temperate climate regions. Years 1 and 2 (2022 and 2023) were previously approved by the ALA board. A Request for Proposal was distributed in 2019 and based on the dates, rates and space proposed, the recommendations for years 3 and 4 (2024 and 2025)</w:t>
      </w:r>
      <w:r w:rsidR="00557F23">
        <w:rPr>
          <w:rFonts w:ascii="Arial" w:eastAsia="Calibri" w:hAnsi="Arial" w:cs="Arial"/>
          <w:sz w:val="22"/>
          <w:szCs w:val="22"/>
        </w:rPr>
        <w:t xml:space="preserve"> with site approval subject to the completion of all necessary con</w:t>
      </w:r>
      <w:r w:rsidR="00F76A44">
        <w:rPr>
          <w:rFonts w:ascii="Arial" w:eastAsia="Calibri" w:hAnsi="Arial" w:cs="Arial"/>
          <w:sz w:val="22"/>
          <w:szCs w:val="22"/>
        </w:rPr>
        <w:t>t</w:t>
      </w:r>
      <w:r w:rsidR="00557F23">
        <w:rPr>
          <w:rFonts w:ascii="Arial" w:eastAsia="Calibri" w:hAnsi="Arial" w:cs="Arial"/>
          <w:sz w:val="22"/>
          <w:szCs w:val="22"/>
        </w:rPr>
        <w:t>ract</w:t>
      </w:r>
      <w:r w:rsidR="002C4937">
        <w:rPr>
          <w:rFonts w:ascii="Arial" w:eastAsia="Calibri" w:hAnsi="Arial" w:cs="Arial"/>
          <w:sz w:val="22"/>
          <w:szCs w:val="22"/>
        </w:rPr>
        <w:t>s.</w:t>
      </w:r>
    </w:p>
    <w:p w14:paraId="3A7F150B" w14:textId="77777777" w:rsidR="000454BD" w:rsidRPr="000454BD" w:rsidRDefault="000454BD" w:rsidP="000454BD">
      <w:pPr>
        <w:autoSpaceDE w:val="0"/>
        <w:autoSpaceDN w:val="0"/>
        <w:adjustRightInd w:val="0"/>
        <w:rPr>
          <w:rFonts w:ascii="Arial" w:eastAsia="Calibri" w:hAnsi="Arial" w:cs="Arial"/>
          <w:sz w:val="22"/>
          <w:szCs w:val="22"/>
        </w:rPr>
      </w:pPr>
    </w:p>
    <w:p w14:paraId="385714D9" w14:textId="77777777"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2022 – San Antonio, TX (confirmed)</w:t>
      </w:r>
    </w:p>
    <w:p w14:paraId="7FC7981A" w14:textId="77777777"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2023 – New Orleans, LA (confirmed)</w:t>
      </w:r>
    </w:p>
    <w:p w14:paraId="27232465" w14:textId="35B0A207"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2024 – Houston, TX (</w:t>
      </w:r>
      <w:r w:rsidR="00FD2338">
        <w:rPr>
          <w:rFonts w:ascii="Arial" w:eastAsia="Calibri" w:hAnsi="Arial" w:cs="Arial"/>
          <w:sz w:val="22"/>
          <w:szCs w:val="22"/>
        </w:rPr>
        <w:t>recommended</w:t>
      </w:r>
      <w:r w:rsidRPr="000454BD">
        <w:rPr>
          <w:rFonts w:ascii="Arial" w:eastAsia="Calibri" w:hAnsi="Arial" w:cs="Arial"/>
          <w:sz w:val="22"/>
          <w:szCs w:val="22"/>
        </w:rPr>
        <w:t>)</w:t>
      </w:r>
    </w:p>
    <w:p w14:paraId="0A37EF6A" w14:textId="17F4A310" w:rsidR="000454BD" w:rsidRPr="000454BD" w:rsidRDefault="000454BD" w:rsidP="000454BD">
      <w:pPr>
        <w:numPr>
          <w:ilvl w:val="0"/>
          <w:numId w:val="24"/>
        </w:numPr>
        <w:autoSpaceDE w:val="0"/>
        <w:autoSpaceDN w:val="0"/>
        <w:adjustRightInd w:val="0"/>
        <w:spacing w:after="160" w:line="259" w:lineRule="auto"/>
        <w:contextualSpacing/>
        <w:rPr>
          <w:rFonts w:ascii="Arial" w:eastAsia="Calibri" w:hAnsi="Arial" w:cs="Arial"/>
          <w:sz w:val="22"/>
          <w:szCs w:val="22"/>
        </w:rPr>
      </w:pPr>
      <w:r w:rsidRPr="000454BD">
        <w:rPr>
          <w:rFonts w:ascii="Arial" w:eastAsia="Calibri" w:hAnsi="Arial" w:cs="Arial"/>
          <w:sz w:val="22"/>
          <w:szCs w:val="22"/>
        </w:rPr>
        <w:t>2025 – Phoenix, AZ (</w:t>
      </w:r>
      <w:r w:rsidR="00FD2338">
        <w:rPr>
          <w:rFonts w:ascii="Arial" w:eastAsia="Calibri" w:hAnsi="Arial" w:cs="Arial"/>
          <w:sz w:val="22"/>
          <w:szCs w:val="22"/>
        </w:rPr>
        <w:t>recommended</w:t>
      </w:r>
      <w:r w:rsidRPr="000454BD">
        <w:rPr>
          <w:rFonts w:ascii="Arial" w:eastAsia="Calibri" w:hAnsi="Arial" w:cs="Arial"/>
          <w:sz w:val="22"/>
          <w:szCs w:val="22"/>
        </w:rPr>
        <w:t>)</w:t>
      </w:r>
    </w:p>
    <w:sectPr w:rsidR="000454BD" w:rsidRPr="000454BD" w:rsidSect="0058170E">
      <w:pgSz w:w="12240" w:h="15840"/>
      <w:pgMar w:top="144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52E8F" w14:textId="77777777" w:rsidR="00322F6C" w:rsidRDefault="00322F6C" w:rsidP="00E414DB">
      <w:r>
        <w:separator/>
      </w:r>
    </w:p>
  </w:endnote>
  <w:endnote w:type="continuationSeparator" w:id="0">
    <w:p w14:paraId="0204C2CA" w14:textId="77777777" w:rsidR="00322F6C" w:rsidRDefault="00322F6C" w:rsidP="00E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BD020" w14:textId="77777777" w:rsidR="00322F6C" w:rsidRDefault="00322F6C" w:rsidP="00E414DB">
      <w:r>
        <w:separator/>
      </w:r>
    </w:p>
  </w:footnote>
  <w:footnote w:type="continuationSeparator" w:id="0">
    <w:p w14:paraId="160D43FC" w14:textId="77777777" w:rsidR="00322F6C" w:rsidRDefault="00322F6C" w:rsidP="00E4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18DD"/>
    <w:multiLevelType w:val="hybridMultilevel"/>
    <w:tmpl w:val="155A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557A5"/>
    <w:multiLevelType w:val="hybridMultilevel"/>
    <w:tmpl w:val="759A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3" w15:restartNumberingAfterBreak="0">
    <w:nsid w:val="07421CE6"/>
    <w:multiLevelType w:val="hybridMultilevel"/>
    <w:tmpl w:val="94F2AAFC"/>
    <w:lvl w:ilvl="0" w:tplc="40045A28">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5" w15:restartNumberingAfterBreak="0">
    <w:nsid w:val="0F957625"/>
    <w:multiLevelType w:val="hybridMultilevel"/>
    <w:tmpl w:val="0B809D74"/>
    <w:lvl w:ilvl="0" w:tplc="40045A28">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7" w15:restartNumberingAfterBreak="0">
    <w:nsid w:val="1C7442F7"/>
    <w:multiLevelType w:val="hybridMultilevel"/>
    <w:tmpl w:val="9FCE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A09B3"/>
    <w:multiLevelType w:val="hybridMultilevel"/>
    <w:tmpl w:val="F114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05DA"/>
    <w:multiLevelType w:val="hybridMultilevel"/>
    <w:tmpl w:val="3A48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11" w15:restartNumberingAfterBreak="0">
    <w:nsid w:val="22D50B46"/>
    <w:multiLevelType w:val="hybridMultilevel"/>
    <w:tmpl w:val="7C24E3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382491"/>
    <w:multiLevelType w:val="hybridMultilevel"/>
    <w:tmpl w:val="270C4A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9AF68A8"/>
    <w:multiLevelType w:val="hybridMultilevel"/>
    <w:tmpl w:val="6C1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9799F"/>
    <w:multiLevelType w:val="hybridMultilevel"/>
    <w:tmpl w:val="290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1287E"/>
    <w:multiLevelType w:val="hybridMultilevel"/>
    <w:tmpl w:val="2CBEF7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abstractNum w:abstractNumId="17" w15:restartNumberingAfterBreak="0">
    <w:nsid w:val="5301115B"/>
    <w:multiLevelType w:val="hybridMultilevel"/>
    <w:tmpl w:val="4E3CC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513684"/>
    <w:multiLevelType w:val="hybridMultilevel"/>
    <w:tmpl w:val="285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B1664"/>
    <w:multiLevelType w:val="hybridMultilevel"/>
    <w:tmpl w:val="61E046FE"/>
    <w:lvl w:ilvl="0" w:tplc="40045A28">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26738"/>
    <w:multiLevelType w:val="hybridMultilevel"/>
    <w:tmpl w:val="3D429F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8162BC2"/>
    <w:multiLevelType w:val="hybridMultilevel"/>
    <w:tmpl w:val="F7D2F0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C145CE0"/>
    <w:multiLevelType w:val="hybridMultilevel"/>
    <w:tmpl w:val="8EEE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A5FB9"/>
    <w:multiLevelType w:val="hybridMultilevel"/>
    <w:tmpl w:val="EA3A5DDC"/>
    <w:lvl w:ilvl="0" w:tplc="40045A28">
      <w:start w:val="202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0"/>
  </w:num>
  <w:num w:numId="4">
    <w:abstractNumId w:val="16"/>
  </w:num>
  <w:num w:numId="5">
    <w:abstractNumId w:val="4"/>
  </w:num>
  <w:num w:numId="6">
    <w:abstractNumId w:val="1"/>
  </w:num>
  <w:num w:numId="7">
    <w:abstractNumId w:val="15"/>
  </w:num>
  <w:num w:numId="8">
    <w:abstractNumId w:val="12"/>
  </w:num>
  <w:num w:numId="9">
    <w:abstractNumId w:val="20"/>
  </w:num>
  <w:num w:numId="10">
    <w:abstractNumId w:val="11"/>
  </w:num>
  <w:num w:numId="11">
    <w:abstractNumId w:val="21"/>
  </w:num>
  <w:num w:numId="12">
    <w:abstractNumId w:val="14"/>
  </w:num>
  <w:num w:numId="13">
    <w:abstractNumId w:val="17"/>
  </w:num>
  <w:num w:numId="14">
    <w:abstractNumId w:val="5"/>
  </w:num>
  <w:num w:numId="15">
    <w:abstractNumId w:val="23"/>
  </w:num>
  <w:num w:numId="16">
    <w:abstractNumId w:val="3"/>
  </w:num>
  <w:num w:numId="17">
    <w:abstractNumId w:val="19"/>
  </w:num>
  <w:num w:numId="18">
    <w:abstractNumId w:val="9"/>
  </w:num>
  <w:num w:numId="19">
    <w:abstractNumId w:val="8"/>
  </w:num>
  <w:num w:numId="20">
    <w:abstractNumId w:val="7"/>
  </w:num>
  <w:num w:numId="21">
    <w:abstractNumId w:val="22"/>
  </w:num>
  <w:num w:numId="22">
    <w:abstractNumId w:val="18"/>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010538"/>
    <w:rsid w:val="00010C5A"/>
    <w:rsid w:val="0001240B"/>
    <w:rsid w:val="00012763"/>
    <w:rsid w:val="00013DE9"/>
    <w:rsid w:val="000167F5"/>
    <w:rsid w:val="00020AB1"/>
    <w:rsid w:val="000210E4"/>
    <w:rsid w:val="000311DE"/>
    <w:rsid w:val="000454BD"/>
    <w:rsid w:val="00047013"/>
    <w:rsid w:val="00054614"/>
    <w:rsid w:val="00066BBC"/>
    <w:rsid w:val="000679AC"/>
    <w:rsid w:val="00083D02"/>
    <w:rsid w:val="000A2468"/>
    <w:rsid w:val="000C00F5"/>
    <w:rsid w:val="000C22ED"/>
    <w:rsid w:val="000C5981"/>
    <w:rsid w:val="000D6D44"/>
    <w:rsid w:val="000E0FC0"/>
    <w:rsid w:val="000E517D"/>
    <w:rsid w:val="000E5E54"/>
    <w:rsid w:val="001029D1"/>
    <w:rsid w:val="00140FC3"/>
    <w:rsid w:val="001449C4"/>
    <w:rsid w:val="00145824"/>
    <w:rsid w:val="0014670D"/>
    <w:rsid w:val="00162347"/>
    <w:rsid w:val="00163F53"/>
    <w:rsid w:val="0017281F"/>
    <w:rsid w:val="001808B0"/>
    <w:rsid w:val="0018408A"/>
    <w:rsid w:val="001878D5"/>
    <w:rsid w:val="001B270E"/>
    <w:rsid w:val="001B2E38"/>
    <w:rsid w:val="001C0C45"/>
    <w:rsid w:val="001C5E31"/>
    <w:rsid w:val="001C75F7"/>
    <w:rsid w:val="001E1B65"/>
    <w:rsid w:val="001F0073"/>
    <w:rsid w:val="002013AE"/>
    <w:rsid w:val="00217ECD"/>
    <w:rsid w:val="00220FA4"/>
    <w:rsid w:val="00222FC7"/>
    <w:rsid w:val="00223861"/>
    <w:rsid w:val="002303E8"/>
    <w:rsid w:val="00232D0D"/>
    <w:rsid w:val="0023447B"/>
    <w:rsid w:val="002462DF"/>
    <w:rsid w:val="00250C5C"/>
    <w:rsid w:val="0025662A"/>
    <w:rsid w:val="002817E7"/>
    <w:rsid w:val="00287C00"/>
    <w:rsid w:val="00297ADA"/>
    <w:rsid w:val="002A3C20"/>
    <w:rsid w:val="002A3F53"/>
    <w:rsid w:val="002B1253"/>
    <w:rsid w:val="002B1DC1"/>
    <w:rsid w:val="002B3E01"/>
    <w:rsid w:val="002C117B"/>
    <w:rsid w:val="002C4937"/>
    <w:rsid w:val="002C6B0B"/>
    <w:rsid w:val="002F36A9"/>
    <w:rsid w:val="003033F6"/>
    <w:rsid w:val="0030603D"/>
    <w:rsid w:val="00313720"/>
    <w:rsid w:val="00320B79"/>
    <w:rsid w:val="00322F6C"/>
    <w:rsid w:val="00324962"/>
    <w:rsid w:val="00332A02"/>
    <w:rsid w:val="00343252"/>
    <w:rsid w:val="00346656"/>
    <w:rsid w:val="003539B3"/>
    <w:rsid w:val="00357CC5"/>
    <w:rsid w:val="00365935"/>
    <w:rsid w:val="00374170"/>
    <w:rsid w:val="00374DBC"/>
    <w:rsid w:val="00382C75"/>
    <w:rsid w:val="0038360E"/>
    <w:rsid w:val="00385532"/>
    <w:rsid w:val="0038618C"/>
    <w:rsid w:val="00390126"/>
    <w:rsid w:val="003A0EA5"/>
    <w:rsid w:val="003A176F"/>
    <w:rsid w:val="003C04AD"/>
    <w:rsid w:val="003C0B43"/>
    <w:rsid w:val="003E1969"/>
    <w:rsid w:val="003E1A4B"/>
    <w:rsid w:val="00400B2A"/>
    <w:rsid w:val="004223AF"/>
    <w:rsid w:val="004274AB"/>
    <w:rsid w:val="00435644"/>
    <w:rsid w:val="00435DE5"/>
    <w:rsid w:val="0044088A"/>
    <w:rsid w:val="0044358E"/>
    <w:rsid w:val="00460336"/>
    <w:rsid w:val="004614C0"/>
    <w:rsid w:val="004778A9"/>
    <w:rsid w:val="00483C92"/>
    <w:rsid w:val="004854AB"/>
    <w:rsid w:val="00490C42"/>
    <w:rsid w:val="0049219E"/>
    <w:rsid w:val="004A7D8B"/>
    <w:rsid w:val="004B0F22"/>
    <w:rsid w:val="004B7E54"/>
    <w:rsid w:val="004C0695"/>
    <w:rsid w:val="004D0259"/>
    <w:rsid w:val="004D1F3E"/>
    <w:rsid w:val="004E062B"/>
    <w:rsid w:val="004E516D"/>
    <w:rsid w:val="004E6DA0"/>
    <w:rsid w:val="00514222"/>
    <w:rsid w:val="005220BB"/>
    <w:rsid w:val="005225A2"/>
    <w:rsid w:val="00527EA9"/>
    <w:rsid w:val="0055689C"/>
    <w:rsid w:val="00557F23"/>
    <w:rsid w:val="0056667D"/>
    <w:rsid w:val="00570102"/>
    <w:rsid w:val="0058170E"/>
    <w:rsid w:val="00591D5F"/>
    <w:rsid w:val="00594E7E"/>
    <w:rsid w:val="005951AB"/>
    <w:rsid w:val="00595610"/>
    <w:rsid w:val="005B3C6F"/>
    <w:rsid w:val="005D1A5A"/>
    <w:rsid w:val="005E1D2B"/>
    <w:rsid w:val="005E219B"/>
    <w:rsid w:val="005E3359"/>
    <w:rsid w:val="005E44F8"/>
    <w:rsid w:val="005E68D8"/>
    <w:rsid w:val="005F6DD8"/>
    <w:rsid w:val="00600B31"/>
    <w:rsid w:val="006068CB"/>
    <w:rsid w:val="00621306"/>
    <w:rsid w:val="00622518"/>
    <w:rsid w:val="00627D62"/>
    <w:rsid w:val="0063516C"/>
    <w:rsid w:val="00645273"/>
    <w:rsid w:val="006550CC"/>
    <w:rsid w:val="00660277"/>
    <w:rsid w:val="00660A3B"/>
    <w:rsid w:val="00662899"/>
    <w:rsid w:val="00671F7B"/>
    <w:rsid w:val="00682C63"/>
    <w:rsid w:val="00684472"/>
    <w:rsid w:val="006906E6"/>
    <w:rsid w:val="006A3DAC"/>
    <w:rsid w:val="006C0224"/>
    <w:rsid w:val="006E05B5"/>
    <w:rsid w:val="006E794F"/>
    <w:rsid w:val="00703D36"/>
    <w:rsid w:val="00705336"/>
    <w:rsid w:val="007065C9"/>
    <w:rsid w:val="00720A15"/>
    <w:rsid w:val="007327A4"/>
    <w:rsid w:val="00744310"/>
    <w:rsid w:val="007503F7"/>
    <w:rsid w:val="00755D69"/>
    <w:rsid w:val="007861CE"/>
    <w:rsid w:val="007A199F"/>
    <w:rsid w:val="007B0323"/>
    <w:rsid w:val="007B1723"/>
    <w:rsid w:val="007C245A"/>
    <w:rsid w:val="007C2780"/>
    <w:rsid w:val="007C4B08"/>
    <w:rsid w:val="007C51B3"/>
    <w:rsid w:val="007C5D34"/>
    <w:rsid w:val="007D745D"/>
    <w:rsid w:val="007E14A3"/>
    <w:rsid w:val="007E541A"/>
    <w:rsid w:val="007E648C"/>
    <w:rsid w:val="007E73E4"/>
    <w:rsid w:val="007F59E0"/>
    <w:rsid w:val="007F71ED"/>
    <w:rsid w:val="007F74D1"/>
    <w:rsid w:val="00800417"/>
    <w:rsid w:val="00803833"/>
    <w:rsid w:val="008061FB"/>
    <w:rsid w:val="008100FE"/>
    <w:rsid w:val="00820268"/>
    <w:rsid w:val="0083471D"/>
    <w:rsid w:val="008372F9"/>
    <w:rsid w:val="008515B0"/>
    <w:rsid w:val="00855EB7"/>
    <w:rsid w:val="008600BC"/>
    <w:rsid w:val="008644B0"/>
    <w:rsid w:val="00867417"/>
    <w:rsid w:val="00897B18"/>
    <w:rsid w:val="008B7215"/>
    <w:rsid w:val="008C616D"/>
    <w:rsid w:val="008D5391"/>
    <w:rsid w:val="008D5BE4"/>
    <w:rsid w:val="008F26B6"/>
    <w:rsid w:val="008F55E3"/>
    <w:rsid w:val="00905AD6"/>
    <w:rsid w:val="00937DEE"/>
    <w:rsid w:val="00940204"/>
    <w:rsid w:val="00940CDF"/>
    <w:rsid w:val="0094102C"/>
    <w:rsid w:val="00946FAC"/>
    <w:rsid w:val="0095679F"/>
    <w:rsid w:val="009578C8"/>
    <w:rsid w:val="00970608"/>
    <w:rsid w:val="00975660"/>
    <w:rsid w:val="00984DC9"/>
    <w:rsid w:val="00985223"/>
    <w:rsid w:val="009864F4"/>
    <w:rsid w:val="00990052"/>
    <w:rsid w:val="009B265A"/>
    <w:rsid w:val="009D1948"/>
    <w:rsid w:val="009D263E"/>
    <w:rsid w:val="009D3AD4"/>
    <w:rsid w:val="009D6472"/>
    <w:rsid w:val="009D75F8"/>
    <w:rsid w:val="009E3D9E"/>
    <w:rsid w:val="009F2669"/>
    <w:rsid w:val="00A0017D"/>
    <w:rsid w:val="00A04B65"/>
    <w:rsid w:val="00A101AB"/>
    <w:rsid w:val="00A10E1C"/>
    <w:rsid w:val="00A21735"/>
    <w:rsid w:val="00A44AC1"/>
    <w:rsid w:val="00A503C2"/>
    <w:rsid w:val="00A51EDD"/>
    <w:rsid w:val="00A53FE5"/>
    <w:rsid w:val="00A6391C"/>
    <w:rsid w:val="00A6539D"/>
    <w:rsid w:val="00A77380"/>
    <w:rsid w:val="00A77473"/>
    <w:rsid w:val="00A906B6"/>
    <w:rsid w:val="00AB0128"/>
    <w:rsid w:val="00AB0229"/>
    <w:rsid w:val="00AB1DF4"/>
    <w:rsid w:val="00AC5544"/>
    <w:rsid w:val="00AD4955"/>
    <w:rsid w:val="00AD5EC6"/>
    <w:rsid w:val="00AE0660"/>
    <w:rsid w:val="00AE07CC"/>
    <w:rsid w:val="00AE1320"/>
    <w:rsid w:val="00AE1778"/>
    <w:rsid w:val="00AF66E0"/>
    <w:rsid w:val="00B13475"/>
    <w:rsid w:val="00B37675"/>
    <w:rsid w:val="00B3792A"/>
    <w:rsid w:val="00B45B44"/>
    <w:rsid w:val="00B51B60"/>
    <w:rsid w:val="00B815E1"/>
    <w:rsid w:val="00B940ED"/>
    <w:rsid w:val="00B9508B"/>
    <w:rsid w:val="00BA197A"/>
    <w:rsid w:val="00BA37B3"/>
    <w:rsid w:val="00BA5755"/>
    <w:rsid w:val="00BB3508"/>
    <w:rsid w:val="00BD3C84"/>
    <w:rsid w:val="00BF3A66"/>
    <w:rsid w:val="00C032A5"/>
    <w:rsid w:val="00C1076A"/>
    <w:rsid w:val="00C17BBC"/>
    <w:rsid w:val="00C27DD4"/>
    <w:rsid w:val="00C307DD"/>
    <w:rsid w:val="00C317F7"/>
    <w:rsid w:val="00C34D4A"/>
    <w:rsid w:val="00C362D3"/>
    <w:rsid w:val="00C44193"/>
    <w:rsid w:val="00C55FED"/>
    <w:rsid w:val="00C72F02"/>
    <w:rsid w:val="00C90135"/>
    <w:rsid w:val="00C9436C"/>
    <w:rsid w:val="00CA1F49"/>
    <w:rsid w:val="00CB1778"/>
    <w:rsid w:val="00CB2E1A"/>
    <w:rsid w:val="00CC0EAD"/>
    <w:rsid w:val="00CD2986"/>
    <w:rsid w:val="00CE4ED8"/>
    <w:rsid w:val="00D029F6"/>
    <w:rsid w:val="00D02BB3"/>
    <w:rsid w:val="00D067CD"/>
    <w:rsid w:val="00D12543"/>
    <w:rsid w:val="00D1753A"/>
    <w:rsid w:val="00D20E79"/>
    <w:rsid w:val="00D41D2E"/>
    <w:rsid w:val="00D47485"/>
    <w:rsid w:val="00D506C5"/>
    <w:rsid w:val="00D727ED"/>
    <w:rsid w:val="00D91128"/>
    <w:rsid w:val="00D919C4"/>
    <w:rsid w:val="00DA0676"/>
    <w:rsid w:val="00DC3FEC"/>
    <w:rsid w:val="00DD7596"/>
    <w:rsid w:val="00E025F2"/>
    <w:rsid w:val="00E0427E"/>
    <w:rsid w:val="00E21BF2"/>
    <w:rsid w:val="00E265C7"/>
    <w:rsid w:val="00E32098"/>
    <w:rsid w:val="00E320AA"/>
    <w:rsid w:val="00E324B8"/>
    <w:rsid w:val="00E414DB"/>
    <w:rsid w:val="00E41671"/>
    <w:rsid w:val="00E423AE"/>
    <w:rsid w:val="00E50B7F"/>
    <w:rsid w:val="00E52946"/>
    <w:rsid w:val="00E57498"/>
    <w:rsid w:val="00E83AE8"/>
    <w:rsid w:val="00E83C1C"/>
    <w:rsid w:val="00E84F88"/>
    <w:rsid w:val="00EA148A"/>
    <w:rsid w:val="00EA5121"/>
    <w:rsid w:val="00EC52F4"/>
    <w:rsid w:val="00ED3727"/>
    <w:rsid w:val="00ED4AD7"/>
    <w:rsid w:val="00EF3265"/>
    <w:rsid w:val="00EF3C65"/>
    <w:rsid w:val="00EF3E32"/>
    <w:rsid w:val="00EF5459"/>
    <w:rsid w:val="00EF589A"/>
    <w:rsid w:val="00EF6B5B"/>
    <w:rsid w:val="00EF7B8A"/>
    <w:rsid w:val="00F112E4"/>
    <w:rsid w:val="00F14600"/>
    <w:rsid w:val="00F14E5C"/>
    <w:rsid w:val="00F16A01"/>
    <w:rsid w:val="00F24930"/>
    <w:rsid w:val="00F4792A"/>
    <w:rsid w:val="00F55271"/>
    <w:rsid w:val="00F635BD"/>
    <w:rsid w:val="00F67D48"/>
    <w:rsid w:val="00F75D7F"/>
    <w:rsid w:val="00F76A44"/>
    <w:rsid w:val="00F87DFC"/>
    <w:rsid w:val="00F977C3"/>
    <w:rsid w:val="00FA1AA5"/>
    <w:rsid w:val="00FA1D31"/>
    <w:rsid w:val="00FA3196"/>
    <w:rsid w:val="00FC19DF"/>
    <w:rsid w:val="00FD2338"/>
    <w:rsid w:val="00FD4540"/>
    <w:rsid w:val="00FE2B0B"/>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C7E8"/>
  <w15:docId w15:val="{25175E9E-265D-41A2-8F5B-93361E5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rsid w:val="004854AB"/>
    <w:rPr>
      <w:color w:val="0000FF"/>
      <w:u w:val="single"/>
    </w:rPr>
  </w:style>
  <w:style w:type="paragraph" w:styleId="ListParagraph">
    <w:name w:val="List Paragraph"/>
    <w:basedOn w:val="Normal"/>
    <w:uiPriority w:val="34"/>
    <w:qFormat/>
    <w:rsid w:val="00CD2986"/>
    <w:pPr>
      <w:ind w:left="720"/>
      <w:contextualSpacing/>
    </w:pPr>
  </w:style>
  <w:style w:type="table" w:styleId="TableGrid">
    <w:name w:val="Table Grid"/>
    <w:basedOn w:val="TableNormal"/>
    <w:rsid w:val="004E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50C5C"/>
    <w:rPr>
      <w:rFonts w:ascii="Segoe UI" w:hAnsi="Segoe UI" w:cs="Segoe UI"/>
      <w:sz w:val="18"/>
      <w:szCs w:val="18"/>
    </w:rPr>
  </w:style>
  <w:style w:type="character" w:customStyle="1" w:styleId="BalloonTextChar">
    <w:name w:val="Balloon Text Char"/>
    <w:basedOn w:val="DefaultParagraphFont"/>
    <w:link w:val="BalloonText"/>
    <w:semiHidden/>
    <w:rsid w:val="00250C5C"/>
    <w:rPr>
      <w:rFonts w:ascii="Segoe UI" w:hAnsi="Segoe UI" w:cs="Segoe UI"/>
      <w:sz w:val="18"/>
      <w:szCs w:val="18"/>
    </w:rPr>
  </w:style>
  <w:style w:type="character" w:styleId="UnresolvedMention">
    <w:name w:val="Unresolved Mention"/>
    <w:basedOn w:val="DefaultParagraphFont"/>
    <w:uiPriority w:val="99"/>
    <w:semiHidden/>
    <w:unhideWhenUsed/>
    <w:rsid w:val="00591D5F"/>
    <w:rPr>
      <w:color w:val="605E5C"/>
      <w:shd w:val="clear" w:color="auto" w:fill="E1DFDD"/>
    </w:rPr>
  </w:style>
  <w:style w:type="character" w:styleId="FollowedHyperlink">
    <w:name w:val="FollowedHyperlink"/>
    <w:basedOn w:val="DefaultParagraphFont"/>
    <w:semiHidden/>
    <w:unhideWhenUsed/>
    <w:rsid w:val="00AE1320"/>
    <w:rPr>
      <w:color w:val="800080" w:themeColor="followedHyperlink"/>
      <w:u w:val="single"/>
    </w:rPr>
  </w:style>
  <w:style w:type="paragraph" w:styleId="Header">
    <w:name w:val="header"/>
    <w:basedOn w:val="Normal"/>
    <w:link w:val="HeaderChar"/>
    <w:uiPriority w:val="99"/>
    <w:unhideWhenUsed/>
    <w:rsid w:val="00F5527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55271"/>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0454B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414DB"/>
    <w:pPr>
      <w:tabs>
        <w:tab w:val="center" w:pos="4680"/>
        <w:tab w:val="right" w:pos="9360"/>
      </w:tabs>
    </w:pPr>
  </w:style>
  <w:style w:type="character" w:customStyle="1" w:styleId="FooterChar">
    <w:name w:val="Footer Char"/>
    <w:basedOn w:val="DefaultParagraphFont"/>
    <w:link w:val="Footer"/>
    <w:rsid w:val="00E4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7297">
      <w:bodyDiv w:val="1"/>
      <w:marLeft w:val="0"/>
      <w:marRight w:val="0"/>
      <w:marTop w:val="0"/>
      <w:marBottom w:val="0"/>
      <w:divBdr>
        <w:top w:val="none" w:sz="0" w:space="0" w:color="auto"/>
        <w:left w:val="none" w:sz="0" w:space="0" w:color="auto"/>
        <w:bottom w:val="none" w:sz="0" w:space="0" w:color="auto"/>
        <w:right w:val="none" w:sz="0" w:space="0" w:color="auto"/>
      </w:divBdr>
    </w:div>
    <w:div w:id="559831542">
      <w:bodyDiv w:val="1"/>
      <w:marLeft w:val="0"/>
      <w:marRight w:val="0"/>
      <w:marTop w:val="0"/>
      <w:marBottom w:val="0"/>
      <w:divBdr>
        <w:top w:val="none" w:sz="0" w:space="0" w:color="auto"/>
        <w:left w:val="none" w:sz="0" w:space="0" w:color="auto"/>
        <w:bottom w:val="none" w:sz="0" w:space="0" w:color="auto"/>
        <w:right w:val="none" w:sz="0" w:space="0" w:color="auto"/>
      </w:divBdr>
    </w:div>
    <w:div w:id="1121845751">
      <w:bodyDiv w:val="1"/>
      <w:marLeft w:val="0"/>
      <w:marRight w:val="0"/>
      <w:marTop w:val="0"/>
      <w:marBottom w:val="0"/>
      <w:divBdr>
        <w:top w:val="none" w:sz="0" w:space="0" w:color="auto"/>
        <w:left w:val="none" w:sz="0" w:space="0" w:color="auto"/>
        <w:bottom w:val="none" w:sz="0" w:space="0" w:color="auto"/>
        <w:right w:val="none" w:sz="0" w:space="0" w:color="auto"/>
      </w:divBdr>
    </w:div>
    <w:div w:id="20723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A3DC14A0D1B47B182D884A2CAF3B7" ma:contentTypeVersion="11" ma:contentTypeDescription="Create a new document." ma:contentTypeScope="" ma:versionID="59a7243ce3a7f5971f4a7788d78cafb0">
  <xsd:schema xmlns:xsd="http://www.w3.org/2001/XMLSchema" xmlns:xs="http://www.w3.org/2001/XMLSchema" xmlns:p="http://schemas.microsoft.com/office/2006/metadata/properties" xmlns:ns3="0a3d2ee8-9ae8-4d9c-b8c6-3612037179c3" xmlns:ns4="2c30cd8e-26df-460c-ae46-91f58aa08624" targetNamespace="http://schemas.microsoft.com/office/2006/metadata/properties" ma:root="true" ma:fieldsID="483fa98f285ecc5f891b95ef498fa460" ns3:_="" ns4:_="">
    <xsd:import namespace="0a3d2ee8-9ae8-4d9c-b8c6-3612037179c3"/>
    <xsd:import namespace="2c30cd8e-26df-460c-ae46-91f58aa086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d2ee8-9ae8-4d9c-b8c6-361203717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0cd8e-26df-460c-ae46-91f58aa086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00780-9C67-432B-B1BC-7ED06397B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FEBF6-FD17-4208-8BDD-7C9FC05E6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d2ee8-9ae8-4d9c-b8c6-3612037179c3"/>
    <ds:schemaRef ds:uri="2c30cd8e-26df-460c-ae46-91f58aa08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2565C-863D-4BC7-82B8-BFAA5762BF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Earla Jones</cp:lastModifiedBy>
  <cp:revision>39</cp:revision>
  <cp:lastPrinted>2020-04-01T16:38:00Z</cp:lastPrinted>
  <dcterms:created xsi:type="dcterms:W3CDTF">2020-11-06T16:53:00Z</dcterms:created>
  <dcterms:modified xsi:type="dcterms:W3CDTF">2020-11-11T23:33:00Z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0x0101008D7A3DC14A0D1B47B182D884A2CAF3B7</vt:lpwstr>
  </property>
</Properties>
</file>