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E8831" w14:textId="02A109FA" w:rsidR="00BF35B9" w:rsidRDefault="00BF35B9" w:rsidP="00151FE8">
      <w:pPr>
        <w:pStyle w:val="NoSpacing"/>
      </w:pPr>
    </w:p>
    <w:p w14:paraId="466A66DE" w14:textId="77777777" w:rsidR="00151FE8" w:rsidRDefault="00151FE8" w:rsidP="00151FE8">
      <w:pPr>
        <w:pStyle w:val="NoSpacing"/>
        <w:rPr>
          <w:b/>
          <w:bCs/>
        </w:rPr>
      </w:pPr>
    </w:p>
    <w:p w14:paraId="184E1253" w14:textId="06BEFF8E" w:rsidR="00151FE8" w:rsidRPr="00AB1DF4" w:rsidRDefault="00151FE8" w:rsidP="00151FE8">
      <w:pPr>
        <w:pStyle w:val="NoSpacing"/>
        <w:jc w:val="right"/>
        <w:rPr>
          <w:b/>
        </w:rPr>
      </w:pPr>
      <w:r w:rsidRPr="00AB1DF4">
        <w:rPr>
          <w:b/>
        </w:rPr>
        <w:t xml:space="preserve">EBD # </w:t>
      </w:r>
      <w:r>
        <w:rPr>
          <w:b/>
        </w:rPr>
        <w:t>12.11</w:t>
      </w:r>
      <w:r w:rsidR="003A54AE">
        <w:rPr>
          <w:b/>
        </w:rPr>
        <w:t>.1</w:t>
      </w:r>
    </w:p>
    <w:p w14:paraId="0621AB29" w14:textId="77777777" w:rsidR="00151FE8" w:rsidRPr="00AB1DF4" w:rsidRDefault="00151FE8" w:rsidP="00151FE8">
      <w:pPr>
        <w:pStyle w:val="NoSpacing"/>
        <w:jc w:val="right"/>
        <w:rPr>
          <w:b/>
        </w:rPr>
      </w:pPr>
      <w:r>
        <w:rPr>
          <w:b/>
        </w:rPr>
        <w:t>2020-2021</w:t>
      </w:r>
    </w:p>
    <w:p w14:paraId="54AFEF6D" w14:textId="77777777" w:rsidR="00151FE8" w:rsidRPr="00AB1DF4" w:rsidRDefault="00151FE8" w:rsidP="00151FE8">
      <w:pPr>
        <w:pStyle w:val="NoSpacing"/>
        <w:rPr>
          <w:b/>
        </w:rPr>
      </w:pPr>
    </w:p>
    <w:p w14:paraId="7C8116E4" w14:textId="77777777" w:rsidR="00151FE8" w:rsidRPr="00AB1DF4" w:rsidRDefault="00151FE8" w:rsidP="00151FE8">
      <w:pPr>
        <w:pStyle w:val="NoSpacing"/>
        <w:rPr>
          <w:b/>
        </w:rPr>
      </w:pPr>
    </w:p>
    <w:p w14:paraId="7F58110D" w14:textId="77777777" w:rsidR="00151FE8" w:rsidRPr="00AB1DF4" w:rsidRDefault="00151FE8" w:rsidP="00151FE8">
      <w:pPr>
        <w:pStyle w:val="NoSpacing"/>
        <w:rPr>
          <w:b/>
        </w:rPr>
      </w:pPr>
      <w:r w:rsidRPr="00AB1DF4">
        <w:rPr>
          <w:b/>
        </w:rPr>
        <w:t>TO:</w:t>
      </w:r>
      <w:r>
        <w:tab/>
      </w:r>
      <w:r w:rsidRPr="00AB1DF4">
        <w:t>ALA Executive Board</w:t>
      </w:r>
    </w:p>
    <w:p w14:paraId="70931309" w14:textId="77777777" w:rsidR="00151FE8" w:rsidRPr="00AB1DF4" w:rsidRDefault="00151FE8" w:rsidP="00151FE8">
      <w:pPr>
        <w:pStyle w:val="NoSpacing"/>
      </w:pPr>
    </w:p>
    <w:p w14:paraId="554E2F16" w14:textId="670600C6" w:rsidR="00151FE8" w:rsidRPr="00AB1DF4" w:rsidRDefault="00151FE8" w:rsidP="00151FE8">
      <w:pPr>
        <w:pStyle w:val="NoSpacing"/>
      </w:pPr>
      <w:r w:rsidRPr="00AB1DF4">
        <w:rPr>
          <w:b/>
        </w:rPr>
        <w:t>RE:</w:t>
      </w:r>
      <w:r>
        <w:tab/>
      </w:r>
      <w:r w:rsidRPr="00094D4F">
        <w:rPr>
          <w:rFonts w:cstheme="minorHAnsi"/>
        </w:rPr>
        <w:t>ALA Membership Report</w:t>
      </w:r>
    </w:p>
    <w:p w14:paraId="337151B5" w14:textId="77777777" w:rsidR="00151FE8" w:rsidRPr="00AB1DF4" w:rsidRDefault="00151FE8" w:rsidP="00151FE8">
      <w:pPr>
        <w:pStyle w:val="NoSpacing"/>
      </w:pPr>
      <w:r w:rsidRPr="00AB1DF4">
        <w:t xml:space="preserve"> </w:t>
      </w:r>
    </w:p>
    <w:p w14:paraId="1D586A1E" w14:textId="77777777" w:rsidR="00151FE8" w:rsidRPr="00AB1DF4" w:rsidRDefault="00151FE8" w:rsidP="00151FE8">
      <w:pPr>
        <w:pStyle w:val="NoSpacing"/>
        <w:rPr>
          <w:b/>
        </w:rPr>
      </w:pPr>
      <w:r w:rsidRPr="00AB1DF4">
        <w:rPr>
          <w:b/>
        </w:rPr>
        <w:t>ACTION REQUESTED/INFORMATION/REPORT:</w:t>
      </w:r>
    </w:p>
    <w:p w14:paraId="6650C314" w14:textId="5166891C" w:rsidR="00151FE8" w:rsidRPr="00AB1DF4" w:rsidRDefault="00151FE8" w:rsidP="00151FE8">
      <w:pPr>
        <w:pStyle w:val="NoSpacing"/>
        <w:ind w:firstLine="720"/>
        <w:rPr>
          <w:i/>
        </w:rPr>
      </w:pPr>
      <w:r w:rsidRPr="00094D4F">
        <w:rPr>
          <w:rFonts w:cstheme="minorHAnsi"/>
        </w:rPr>
        <w:t>Information report</w:t>
      </w:r>
      <w:r w:rsidRPr="00094D4F">
        <w:rPr>
          <w:rFonts w:cstheme="minorHAnsi"/>
        </w:rPr>
        <w:tab/>
      </w:r>
    </w:p>
    <w:p w14:paraId="4C458AE8" w14:textId="77777777" w:rsidR="00151FE8" w:rsidRDefault="00151FE8" w:rsidP="00151FE8">
      <w:pPr>
        <w:pStyle w:val="NoSpacing"/>
        <w:rPr>
          <w:b/>
        </w:rPr>
      </w:pPr>
    </w:p>
    <w:p w14:paraId="4358B619" w14:textId="65A6D4FB" w:rsidR="00151FE8" w:rsidRPr="00AB1DF4" w:rsidRDefault="00151FE8" w:rsidP="00151FE8">
      <w:pPr>
        <w:pStyle w:val="NoSpacing"/>
        <w:rPr>
          <w:b/>
        </w:rPr>
      </w:pPr>
      <w:r w:rsidRPr="00AB1DF4">
        <w:rPr>
          <w:b/>
        </w:rPr>
        <w:t>ACTION REQUESTED BY:</w:t>
      </w:r>
    </w:p>
    <w:p w14:paraId="04C9BDB5" w14:textId="223B7BDF" w:rsidR="00151FE8" w:rsidRPr="00094D4F" w:rsidRDefault="00151FE8" w:rsidP="00151FE8">
      <w:pPr>
        <w:ind w:left="720"/>
        <w:rPr>
          <w:rFonts w:asciiTheme="minorHAnsi" w:hAnsiTheme="minorHAnsi" w:cstheme="minorHAnsi"/>
          <w:sz w:val="22"/>
          <w:szCs w:val="22"/>
        </w:rPr>
      </w:pPr>
      <w:r w:rsidRPr="00094D4F">
        <w:rPr>
          <w:rFonts w:asciiTheme="minorHAnsi" w:hAnsiTheme="minorHAnsi" w:cstheme="minorHAnsi"/>
          <w:sz w:val="22"/>
          <w:szCs w:val="22"/>
        </w:rPr>
        <w:t xml:space="preserve">Melissa Walling, </w:t>
      </w:r>
      <w:r>
        <w:rPr>
          <w:rFonts w:asciiTheme="minorHAnsi" w:hAnsiTheme="minorHAnsi" w:cstheme="minorHAnsi"/>
          <w:sz w:val="22"/>
          <w:szCs w:val="22"/>
        </w:rPr>
        <w:t xml:space="preserve">MBA, </w:t>
      </w:r>
      <w:r w:rsidRPr="00094D4F">
        <w:rPr>
          <w:rFonts w:asciiTheme="minorHAnsi" w:hAnsiTheme="minorHAnsi" w:cstheme="minorHAnsi"/>
          <w:sz w:val="22"/>
          <w:szCs w:val="22"/>
        </w:rPr>
        <w:t xml:space="preserve">CAE, Director, </w:t>
      </w:r>
      <w:r>
        <w:rPr>
          <w:rFonts w:asciiTheme="minorHAnsi" w:hAnsiTheme="minorHAnsi" w:cstheme="minorHAnsi"/>
          <w:sz w:val="22"/>
          <w:szCs w:val="22"/>
        </w:rPr>
        <w:t>Member Relations &amp; Services</w:t>
      </w:r>
    </w:p>
    <w:p w14:paraId="11A0D854" w14:textId="77777777" w:rsidR="00151FE8" w:rsidRPr="00AB1DF4" w:rsidRDefault="00151FE8" w:rsidP="00151FE8">
      <w:pPr>
        <w:pStyle w:val="NoSpacing"/>
      </w:pPr>
    </w:p>
    <w:p w14:paraId="6297D459" w14:textId="77777777" w:rsidR="00151FE8" w:rsidRDefault="00151FE8" w:rsidP="00151FE8">
      <w:pPr>
        <w:pStyle w:val="NoSpacing"/>
      </w:pPr>
      <w:r w:rsidRPr="00AB1DF4">
        <w:rPr>
          <w:b/>
        </w:rPr>
        <w:t>CONTACT PERSON:</w:t>
      </w:r>
    </w:p>
    <w:p w14:paraId="62BA4760" w14:textId="77777777" w:rsidR="00151FE8" w:rsidRPr="00094D4F" w:rsidRDefault="00151FE8" w:rsidP="00151FE8">
      <w:pPr>
        <w:ind w:left="720"/>
        <w:rPr>
          <w:rFonts w:asciiTheme="minorHAnsi" w:hAnsiTheme="minorHAnsi" w:cstheme="minorHAnsi"/>
          <w:sz w:val="22"/>
          <w:szCs w:val="22"/>
        </w:rPr>
      </w:pPr>
      <w:r w:rsidRPr="00094D4F">
        <w:rPr>
          <w:rFonts w:asciiTheme="minorHAnsi" w:hAnsiTheme="minorHAnsi" w:cstheme="minorHAnsi"/>
          <w:sz w:val="22"/>
          <w:szCs w:val="22"/>
        </w:rPr>
        <w:t>Melissa Walling, mwalling@ala.org, ext. 2159</w:t>
      </w:r>
    </w:p>
    <w:p w14:paraId="0519BA85" w14:textId="77777777" w:rsidR="00151FE8" w:rsidRPr="00AB1DF4" w:rsidRDefault="00151FE8" w:rsidP="00151FE8">
      <w:pPr>
        <w:pStyle w:val="NoSpacing"/>
        <w:rPr>
          <w:bCs/>
        </w:rPr>
      </w:pPr>
    </w:p>
    <w:p w14:paraId="47153763" w14:textId="77777777" w:rsidR="00151FE8" w:rsidRPr="00AB1DF4" w:rsidRDefault="00151FE8" w:rsidP="00151FE8">
      <w:pPr>
        <w:pStyle w:val="NoSpacing"/>
        <w:rPr>
          <w:b/>
        </w:rPr>
      </w:pPr>
      <w:r w:rsidRPr="00AB1DF4">
        <w:rPr>
          <w:b/>
        </w:rPr>
        <w:t>DRAFT OF MOTION:</w:t>
      </w:r>
    </w:p>
    <w:p w14:paraId="155FF104" w14:textId="02FDC505" w:rsidR="00151FE8" w:rsidRPr="00AB1DF4" w:rsidRDefault="00151FE8" w:rsidP="00151FE8">
      <w:pPr>
        <w:pStyle w:val="NoSpacing"/>
        <w:ind w:firstLine="720"/>
        <w:rPr>
          <w:bCs/>
        </w:rPr>
      </w:pPr>
      <w:r w:rsidRPr="00094D4F">
        <w:rPr>
          <w:rFonts w:cstheme="minorHAnsi"/>
          <w:bCs/>
        </w:rPr>
        <w:t>N/A</w:t>
      </w:r>
      <w:r w:rsidRPr="00AB1DF4">
        <w:rPr>
          <w:bCs/>
        </w:rPr>
        <w:t xml:space="preserve"> </w:t>
      </w:r>
    </w:p>
    <w:p w14:paraId="1A2860AB" w14:textId="77777777" w:rsidR="00151FE8" w:rsidRDefault="00151FE8" w:rsidP="00151FE8">
      <w:pPr>
        <w:pStyle w:val="NoSpacing"/>
        <w:rPr>
          <w:b/>
        </w:rPr>
      </w:pPr>
    </w:p>
    <w:p w14:paraId="1CADE04D" w14:textId="629A7989" w:rsidR="00151FE8" w:rsidRPr="00AB1DF4" w:rsidRDefault="00151FE8" w:rsidP="00151FE8">
      <w:pPr>
        <w:pStyle w:val="NoSpacing"/>
      </w:pPr>
      <w:r w:rsidRPr="00AB1DF4">
        <w:rPr>
          <w:b/>
        </w:rPr>
        <w:t>DATE:</w:t>
      </w:r>
      <w:r>
        <w:tab/>
        <w:t>Friday, October 2, 2020</w:t>
      </w:r>
    </w:p>
    <w:p w14:paraId="5582A624" w14:textId="77777777" w:rsidR="00151FE8" w:rsidRPr="00AB1DF4" w:rsidRDefault="00151FE8" w:rsidP="00151FE8">
      <w:pPr>
        <w:pStyle w:val="NoSpacing"/>
      </w:pPr>
    </w:p>
    <w:p w14:paraId="102C8773" w14:textId="77777777" w:rsidR="00151FE8" w:rsidRDefault="00151FE8" w:rsidP="00151FE8">
      <w:pPr>
        <w:pStyle w:val="NoSpacing"/>
      </w:pPr>
      <w:r w:rsidRPr="00AB1DF4">
        <w:rPr>
          <w:b/>
        </w:rPr>
        <w:t>BACKGROUND:</w:t>
      </w:r>
      <w:r>
        <w:tab/>
      </w:r>
    </w:p>
    <w:p w14:paraId="1D02E691" w14:textId="76A1D56F" w:rsidR="00151FE8" w:rsidRPr="00094D4F" w:rsidRDefault="00151FE8" w:rsidP="00151FE8">
      <w:pPr>
        <w:ind w:firstLine="720"/>
        <w:rPr>
          <w:rFonts w:asciiTheme="minorHAnsi" w:hAnsiTheme="minorHAnsi" w:cstheme="minorHAnsi"/>
          <w:sz w:val="22"/>
          <w:szCs w:val="22"/>
        </w:rPr>
      </w:pPr>
      <w:r w:rsidRPr="00094D4F">
        <w:rPr>
          <w:rFonts w:asciiTheme="minorHAnsi" w:hAnsiTheme="minorHAnsi" w:cstheme="minorHAnsi"/>
          <w:sz w:val="22"/>
          <w:szCs w:val="22"/>
        </w:rPr>
        <w:t xml:space="preserve">Report on membership </w:t>
      </w:r>
      <w:r w:rsidR="00346575">
        <w:rPr>
          <w:rFonts w:asciiTheme="minorHAnsi" w:hAnsiTheme="minorHAnsi" w:cstheme="minorHAnsi"/>
          <w:sz w:val="22"/>
          <w:szCs w:val="22"/>
        </w:rPr>
        <w:t xml:space="preserve">activities </w:t>
      </w:r>
      <w:r>
        <w:rPr>
          <w:rFonts w:asciiTheme="minorHAnsi" w:hAnsiTheme="minorHAnsi" w:cstheme="minorHAnsi"/>
          <w:sz w:val="22"/>
          <w:szCs w:val="22"/>
        </w:rPr>
        <w:t xml:space="preserve">and </w:t>
      </w:r>
      <w:r w:rsidR="00346575">
        <w:rPr>
          <w:rFonts w:asciiTheme="minorHAnsi" w:hAnsiTheme="minorHAnsi" w:cstheme="minorHAnsi"/>
          <w:sz w:val="22"/>
          <w:szCs w:val="22"/>
        </w:rPr>
        <w:t>recommended</w:t>
      </w:r>
      <w:r>
        <w:rPr>
          <w:rFonts w:asciiTheme="minorHAnsi" w:hAnsiTheme="minorHAnsi" w:cstheme="minorHAnsi"/>
          <w:sz w:val="22"/>
          <w:szCs w:val="22"/>
        </w:rPr>
        <w:t xml:space="preserve"> membership model.</w:t>
      </w:r>
    </w:p>
    <w:p w14:paraId="35197E5E" w14:textId="77777777" w:rsidR="00151FE8" w:rsidRPr="00AB1DF4" w:rsidRDefault="00151FE8" w:rsidP="00151FE8">
      <w:pPr>
        <w:pStyle w:val="NoSpacing"/>
        <w:rPr>
          <w:i/>
        </w:rPr>
      </w:pPr>
    </w:p>
    <w:p w14:paraId="2E11B564" w14:textId="77777777" w:rsidR="00151FE8" w:rsidRPr="00AB1DF4" w:rsidRDefault="00151FE8" w:rsidP="00151FE8">
      <w:pPr>
        <w:pStyle w:val="NoSpacing"/>
      </w:pPr>
      <w:r w:rsidRPr="00AB1DF4">
        <w:rPr>
          <w:b/>
        </w:rPr>
        <w:t>ATTACHMENTS:</w:t>
      </w:r>
      <w:r w:rsidRPr="00AB1DF4">
        <w:t xml:space="preserve"> </w:t>
      </w:r>
    </w:p>
    <w:p w14:paraId="0978CC7D" w14:textId="77777777" w:rsidR="00E0407F" w:rsidRDefault="00E0407F" w:rsidP="00151FE8">
      <w:pPr>
        <w:pStyle w:val="NoSpacing"/>
      </w:pPr>
      <w:r>
        <w:tab/>
        <w:t>For those not familiar with the history of the membership model work, please visit:</w:t>
      </w:r>
    </w:p>
    <w:p w14:paraId="141D68CE" w14:textId="77777777" w:rsidR="00E0407F" w:rsidRDefault="00E0407F" w:rsidP="00151FE8">
      <w:pPr>
        <w:pStyle w:val="NoSpacing"/>
      </w:pPr>
      <w:r>
        <w:tab/>
      </w:r>
      <w:r>
        <w:tab/>
        <w:t xml:space="preserve">EBD 12.20 (2019-2020): </w:t>
      </w:r>
      <w:hyperlink r:id="rId6" w:history="1">
        <w:r w:rsidRPr="00E0407F">
          <w:rPr>
            <w:rStyle w:val="Hyperlink"/>
          </w:rPr>
          <w:t>Membership Presentation</w:t>
        </w:r>
      </w:hyperlink>
    </w:p>
    <w:p w14:paraId="44ED206B" w14:textId="4F0019C6" w:rsidR="00151FE8" w:rsidRDefault="00E0407F" w:rsidP="00151FE8">
      <w:pPr>
        <w:pStyle w:val="NoSpacing"/>
        <w:rPr>
          <w:b/>
          <w:bCs/>
        </w:rPr>
      </w:pPr>
      <w:r>
        <w:tab/>
      </w:r>
      <w:r>
        <w:tab/>
        <w:t xml:space="preserve">EBD 12.12 (2018-2019): </w:t>
      </w:r>
      <w:hyperlink r:id="rId7" w:history="1">
        <w:r w:rsidRPr="00E0407F">
          <w:rPr>
            <w:rStyle w:val="Hyperlink"/>
          </w:rPr>
          <w:t>Communications/Membership Reports (PowerPoint)</w:t>
        </w:r>
      </w:hyperlink>
      <w:r w:rsidR="00151FE8">
        <w:rPr>
          <w:b/>
          <w:bCs/>
        </w:rPr>
        <w:br w:type="page"/>
      </w:r>
    </w:p>
    <w:p w14:paraId="4BCF9F7F" w14:textId="77777777" w:rsidR="00151FE8" w:rsidRDefault="00151FE8" w:rsidP="00151FE8">
      <w:pPr>
        <w:pStyle w:val="NoSpacing"/>
        <w:rPr>
          <w:b/>
          <w:bCs/>
        </w:rPr>
      </w:pPr>
    </w:p>
    <w:p w14:paraId="4A231097" w14:textId="5C32E024" w:rsidR="0074243B" w:rsidRPr="006C3719" w:rsidRDefault="0074243B" w:rsidP="0074243B">
      <w:pPr>
        <w:pStyle w:val="NoSpacing"/>
        <w:rPr>
          <w:rFonts w:cstheme="minorHAnsi"/>
          <w:b/>
          <w:bCs/>
          <w:sz w:val="32"/>
          <w:szCs w:val="32"/>
        </w:rPr>
      </w:pPr>
      <w:r w:rsidRPr="006C3719">
        <w:rPr>
          <w:rFonts w:cstheme="minorHAnsi"/>
          <w:b/>
          <w:bCs/>
          <w:sz w:val="32"/>
          <w:szCs w:val="32"/>
        </w:rPr>
        <w:t>FY21 Key Membership Activities and Focus Areas</w:t>
      </w:r>
    </w:p>
    <w:p w14:paraId="33A9436A" w14:textId="1D270905" w:rsidR="0074243B" w:rsidRPr="006C3719" w:rsidRDefault="0074243B" w:rsidP="0074243B">
      <w:pPr>
        <w:pStyle w:val="NoSpacing"/>
        <w:rPr>
          <w:rFonts w:cstheme="minorHAnsi"/>
        </w:rPr>
      </w:pPr>
    </w:p>
    <w:p w14:paraId="7D91B79D" w14:textId="74E6B051" w:rsidR="006C3719" w:rsidRPr="006C3719" w:rsidRDefault="006C3719" w:rsidP="006C3719">
      <w:pPr>
        <w:rPr>
          <w:rFonts w:asciiTheme="minorHAnsi" w:hAnsiTheme="minorHAnsi" w:cstheme="minorHAnsi"/>
          <w:sz w:val="22"/>
          <w:szCs w:val="22"/>
        </w:rPr>
      </w:pPr>
      <w:r w:rsidRPr="006C3719">
        <w:rPr>
          <w:rFonts w:asciiTheme="minorHAnsi" w:hAnsiTheme="minorHAnsi" w:cstheme="minorHAnsi"/>
          <w:sz w:val="22"/>
          <w:szCs w:val="22"/>
        </w:rPr>
        <w:t>While ALA’s monthly membership statistics are delayed, we have pulled together a rough estimate of our membership numbers. This is only an estimate</w:t>
      </w:r>
      <w:r>
        <w:rPr>
          <w:rFonts w:asciiTheme="minorHAnsi" w:hAnsiTheme="minorHAnsi" w:cstheme="minorHAnsi"/>
          <w:sz w:val="22"/>
          <w:szCs w:val="22"/>
        </w:rPr>
        <w:t xml:space="preserve">. </w:t>
      </w:r>
      <w:r w:rsidRPr="006C3719">
        <w:rPr>
          <w:rFonts w:asciiTheme="minorHAnsi" w:hAnsiTheme="minorHAnsi" w:cstheme="minorHAnsi"/>
          <w:sz w:val="22"/>
          <w:szCs w:val="22"/>
        </w:rPr>
        <w:t xml:space="preserve">Overall ALA’s membership is a 6% decline YOY and a 9% decline when compared to two years ago. This is due to three primary factors - the impact of COVID-19, the cancellation of Annual Conference, and because membership renewal tactics were </w:t>
      </w:r>
      <w:r w:rsidR="00E0407F">
        <w:rPr>
          <w:rFonts w:asciiTheme="minorHAnsi" w:hAnsiTheme="minorHAnsi" w:cstheme="minorHAnsi"/>
          <w:sz w:val="22"/>
          <w:szCs w:val="22"/>
        </w:rPr>
        <w:t>paused</w:t>
      </w:r>
      <w:r w:rsidRPr="006C3719">
        <w:rPr>
          <w:rFonts w:asciiTheme="minorHAnsi" w:hAnsiTheme="minorHAnsi" w:cstheme="minorHAnsi"/>
          <w:sz w:val="22"/>
          <w:szCs w:val="22"/>
        </w:rPr>
        <w:t xml:space="preserve"> in March and resumed in late July. </w:t>
      </w:r>
    </w:p>
    <w:p w14:paraId="18C8E5D2" w14:textId="77777777" w:rsidR="006C3719" w:rsidRPr="006C3719" w:rsidRDefault="006C3719" w:rsidP="0074243B">
      <w:pPr>
        <w:pStyle w:val="NoSpacing"/>
        <w:rPr>
          <w:rFonts w:cstheme="minorHAnsi"/>
        </w:rPr>
      </w:pPr>
    </w:p>
    <w:p w14:paraId="1E4C2267" w14:textId="2A41CF57" w:rsidR="006C3719" w:rsidRDefault="006C3719" w:rsidP="0074243B">
      <w:pPr>
        <w:pStyle w:val="NoSpacing"/>
      </w:pPr>
      <w:r w:rsidRPr="006C3719">
        <w:rPr>
          <w:rFonts w:cstheme="minorHAnsi"/>
          <w:b/>
          <w:bCs/>
        </w:rPr>
        <w:t>Membership</w:t>
      </w:r>
      <w:r>
        <w:rPr>
          <w:b/>
          <w:bCs/>
        </w:rPr>
        <w:t xml:space="preserve"> Renewals:</w:t>
      </w:r>
      <w:r>
        <w:t xml:space="preserve"> As previously reported, membership renewals resumed in July via email and we are issuing</w:t>
      </w:r>
      <w:r w:rsidR="00E0407F">
        <w:t xml:space="preserve"> </w:t>
      </w:r>
      <w:r>
        <w:t>print renewal next week to approximately 15,000 members. Monthly membership</w:t>
      </w:r>
      <w:r w:rsidR="00E0407F">
        <w:t xml:space="preserve"> renewals remain</w:t>
      </w:r>
      <w:r>
        <w:t xml:space="preserve"> on track and we are playing catch up to some of the members impacted by this interruption. </w:t>
      </w:r>
      <w:r w:rsidR="00877597">
        <w:t>Since July, we have collected $850,000 in membership dues revenue which will impact both of our FY20 and FY21 budgets.</w:t>
      </w:r>
      <w:r w:rsidR="00256E66">
        <w:t xml:space="preserve"> Continuing to highlight the semi-annual </w:t>
      </w:r>
      <w:r w:rsidR="00256E66" w:rsidRPr="0094265B">
        <w:t xml:space="preserve">installment payments and the non-salaried membership price are important messages during this time when members need </w:t>
      </w:r>
      <w:proofErr w:type="gramStart"/>
      <w:r w:rsidR="00256E66" w:rsidRPr="0094265B">
        <w:t>flexibility</w:t>
      </w:r>
      <w:proofErr w:type="gramEnd"/>
      <w:r w:rsidR="00256E66" w:rsidRPr="0094265B">
        <w:t xml:space="preserve"> and their employment outlook may be uncertain.</w:t>
      </w:r>
      <w:r w:rsidR="0094265B">
        <w:t xml:space="preserve"> Our lapsed member survey indicates that cost, unemployment, </w:t>
      </w:r>
      <w:proofErr w:type="gramStart"/>
      <w:r w:rsidR="0094265B">
        <w:t>furloughs</w:t>
      </w:r>
      <w:proofErr w:type="gramEnd"/>
      <w:r w:rsidR="0094265B">
        <w:t xml:space="preserve"> and retirement are some of the reasons why people are discontinuing membership.</w:t>
      </w:r>
    </w:p>
    <w:p w14:paraId="153080B7" w14:textId="00C698D8" w:rsidR="00877597" w:rsidRDefault="00877597" w:rsidP="0074243B">
      <w:pPr>
        <w:pStyle w:val="NoSpacing"/>
      </w:pPr>
    </w:p>
    <w:p w14:paraId="1ADAB3E9" w14:textId="74C21E17" w:rsidR="009F4A34" w:rsidRPr="0094265B" w:rsidRDefault="009F4A34" w:rsidP="009F4A34">
      <w:pPr>
        <w:pStyle w:val="NoSpacing"/>
        <w:rPr>
          <w:rFonts w:cstheme="minorHAnsi"/>
        </w:rPr>
      </w:pPr>
      <w:r w:rsidRPr="0094265B">
        <w:rPr>
          <w:rFonts w:cstheme="minorHAnsi"/>
          <w:b/>
          <w:bCs/>
        </w:rPr>
        <w:t xml:space="preserve">ALA Connect Live: </w:t>
      </w:r>
      <w:r w:rsidRPr="0094265B">
        <w:rPr>
          <w:rFonts w:cstheme="minorHAnsi"/>
        </w:rPr>
        <w:t xml:space="preserve">ALA Connect Live has proven to be an engaging virtual event for our members. President Jefferson has curated speakers that highlight the </w:t>
      </w:r>
      <w:r w:rsidR="006738D5">
        <w:rPr>
          <w:rFonts w:cstheme="minorHAnsi"/>
        </w:rPr>
        <w:t xml:space="preserve">diverse work of the association </w:t>
      </w:r>
      <w:r w:rsidRPr="0094265B">
        <w:rPr>
          <w:rFonts w:cstheme="minorHAnsi"/>
        </w:rPr>
        <w:t xml:space="preserve">including division, </w:t>
      </w:r>
      <w:proofErr w:type="gramStart"/>
      <w:r w:rsidRPr="0094265B">
        <w:rPr>
          <w:rFonts w:cstheme="minorHAnsi"/>
        </w:rPr>
        <w:t>offices</w:t>
      </w:r>
      <w:proofErr w:type="gramEnd"/>
      <w:r w:rsidRPr="0094265B">
        <w:rPr>
          <w:rFonts w:cstheme="minorHAnsi"/>
        </w:rPr>
        <w:t xml:space="preserve"> and round tables</w:t>
      </w:r>
      <w:r w:rsidR="006738D5">
        <w:rPr>
          <w:rFonts w:cstheme="minorHAnsi"/>
        </w:rPr>
        <w:t xml:space="preserve"> initiatives</w:t>
      </w:r>
      <w:r w:rsidRPr="0094265B">
        <w:rPr>
          <w:rFonts w:cstheme="minorHAnsi"/>
        </w:rPr>
        <w:t>.</w:t>
      </w:r>
      <w:r w:rsidR="00012BD7" w:rsidRPr="0094265B">
        <w:rPr>
          <w:rFonts w:cstheme="minorHAnsi"/>
        </w:rPr>
        <w:t xml:space="preserve"> On average, 90% of attendee rank the program as very good or excellent and nearly 2/3 of attendees would recommend the program to a colleague. One recent attendee remarked, “</w:t>
      </w:r>
      <w:r w:rsidR="0094265B" w:rsidRPr="0094265B">
        <w:rPr>
          <w:rFonts w:cstheme="minorHAnsi"/>
        </w:rPr>
        <w:t>Even if I do not attend a lot of these</w:t>
      </w:r>
      <w:r w:rsidR="006738D5">
        <w:rPr>
          <w:rFonts w:cstheme="minorHAnsi"/>
        </w:rPr>
        <w:t>,</w:t>
      </w:r>
      <w:r w:rsidR="0094265B" w:rsidRPr="0094265B">
        <w:rPr>
          <w:rFonts w:cstheme="minorHAnsi"/>
        </w:rPr>
        <w:t xml:space="preserve"> I really appreciate that they are there.</w:t>
      </w:r>
      <w:r w:rsidR="0094265B">
        <w:rPr>
          <w:rFonts w:cstheme="minorHAnsi"/>
        </w:rPr>
        <w:t>”</w:t>
      </w:r>
    </w:p>
    <w:p w14:paraId="1BC62088" w14:textId="77777777" w:rsidR="009F4A34" w:rsidRPr="0094265B" w:rsidRDefault="009F4A34" w:rsidP="0074243B">
      <w:pPr>
        <w:pStyle w:val="NoSpacing"/>
        <w:rPr>
          <w:rFonts w:cstheme="minorHAnsi"/>
          <w:b/>
          <w:bCs/>
        </w:rPr>
      </w:pPr>
    </w:p>
    <w:p w14:paraId="76772EBB" w14:textId="568A7952" w:rsidR="00256E66" w:rsidRDefault="00256E66" w:rsidP="0074243B">
      <w:pPr>
        <w:pStyle w:val="NoSpacing"/>
      </w:pPr>
      <w:r>
        <w:rPr>
          <w:b/>
          <w:bCs/>
        </w:rPr>
        <w:t xml:space="preserve">Membership Onboarding: </w:t>
      </w:r>
      <w:r>
        <w:t xml:space="preserve">The experience a new member has in their first 12 months of membership greatly impact their </w:t>
      </w:r>
      <w:r w:rsidR="006738D5">
        <w:t>long-term</w:t>
      </w:r>
      <w:r>
        <w:t xml:space="preserve"> relationship. Currently, there is not a membership onboarding program for ALA membership</w:t>
      </w:r>
      <w:r w:rsidR="00610AA9">
        <w:t>,</w:t>
      </w:r>
      <w:r>
        <w:t xml:space="preserve"> but one will be </w:t>
      </w:r>
      <w:r w:rsidR="00610AA9">
        <w:t>launched</w:t>
      </w:r>
      <w:r>
        <w:t xml:space="preserve"> this fiscal year. A cross-organizational team is working to develop emails, videos</w:t>
      </w:r>
      <w:r w:rsidR="00B52395">
        <w:t xml:space="preserve">, virtual meet ups, </w:t>
      </w:r>
      <w:r>
        <w:t xml:space="preserve">and web pages to ensure that our new members learn about </w:t>
      </w:r>
      <w:r w:rsidR="007F59D8">
        <w:t>everything ALA membership can offer. Demonstrating the value proposition of membership is always important, and even more so during this economic downturn.</w:t>
      </w:r>
      <w:r w:rsidR="006738D5">
        <w:t xml:space="preserve"> This effort is being supported through the sponsorship of </w:t>
      </w:r>
      <w:proofErr w:type="spellStart"/>
      <w:r w:rsidR="006738D5">
        <w:t>OverDrive</w:t>
      </w:r>
      <w:proofErr w:type="spellEnd"/>
      <w:r w:rsidR="006738D5">
        <w:t>.</w:t>
      </w:r>
    </w:p>
    <w:p w14:paraId="5F983B4E" w14:textId="6E281BDD" w:rsidR="007F59D8" w:rsidRDefault="007F59D8" w:rsidP="0074243B">
      <w:pPr>
        <w:pStyle w:val="NoSpacing"/>
      </w:pPr>
    </w:p>
    <w:p w14:paraId="13C1E925" w14:textId="4F0758CF" w:rsidR="007F59D8" w:rsidRDefault="007F59D8" w:rsidP="0074243B">
      <w:pPr>
        <w:pStyle w:val="NoSpacing"/>
      </w:pPr>
      <w:r>
        <w:rPr>
          <w:b/>
          <w:bCs/>
        </w:rPr>
        <w:t xml:space="preserve">Membership Benefits: </w:t>
      </w:r>
      <w:r w:rsidR="00610AA9">
        <w:t>We are continuing to identify opportunities to increase the benefits that are offered to our members. Here are a few recent benefits that have been activated:</w:t>
      </w:r>
    </w:p>
    <w:p w14:paraId="67E6E8A5" w14:textId="4E8D2750" w:rsidR="00610AA9" w:rsidRPr="00610AA9" w:rsidRDefault="00610AA9" w:rsidP="00610AA9">
      <w:pPr>
        <w:pStyle w:val="NoSpacing"/>
        <w:numPr>
          <w:ilvl w:val="0"/>
          <w:numId w:val="18"/>
        </w:numPr>
        <w:rPr>
          <w:rFonts w:cstheme="minorHAnsi"/>
        </w:rPr>
      </w:pPr>
      <w:r w:rsidRPr="00610AA9">
        <w:rPr>
          <w:rFonts w:cstheme="minorHAnsi"/>
        </w:rPr>
        <w:t xml:space="preserve">The staff of organizational members </w:t>
      </w:r>
      <w:proofErr w:type="gramStart"/>
      <w:r>
        <w:rPr>
          <w:rFonts w:cstheme="minorHAnsi"/>
        </w:rPr>
        <w:t>a</w:t>
      </w:r>
      <w:r w:rsidRPr="00610AA9">
        <w:rPr>
          <w:rFonts w:cstheme="minorHAnsi"/>
        </w:rPr>
        <w:t>re able to</w:t>
      </w:r>
      <w:proofErr w:type="gramEnd"/>
      <w:r w:rsidRPr="00610AA9">
        <w:rPr>
          <w:rFonts w:cstheme="minorHAnsi"/>
        </w:rPr>
        <w:t xml:space="preserve"> receive access to the ALA Annual Conference recordings beginning November 1</w:t>
      </w:r>
      <w:r w:rsidRPr="00610AA9">
        <w:rPr>
          <w:rFonts w:cstheme="minorHAnsi"/>
          <w:vertAlign w:val="superscript"/>
        </w:rPr>
        <w:t>st</w:t>
      </w:r>
      <w:r w:rsidRPr="00610AA9">
        <w:rPr>
          <w:rFonts w:cstheme="minorHAnsi"/>
        </w:rPr>
        <w:t xml:space="preserve"> when enrolling through an online form.</w:t>
      </w:r>
    </w:p>
    <w:p w14:paraId="256C67BF" w14:textId="1829F8EA" w:rsidR="00610AA9" w:rsidRDefault="00610AA9" w:rsidP="00610AA9">
      <w:pPr>
        <w:pStyle w:val="NoSpacing"/>
        <w:numPr>
          <w:ilvl w:val="0"/>
          <w:numId w:val="18"/>
        </w:numPr>
        <w:rPr>
          <w:rFonts w:cstheme="minorHAnsi"/>
        </w:rPr>
      </w:pPr>
      <w:r w:rsidRPr="00610AA9">
        <w:rPr>
          <w:rFonts w:cstheme="minorHAnsi"/>
        </w:rPr>
        <w:t>Organizational members who purchase multiple registrations and/or a group license for one or more ALA Publishing eLearning Solutions events exceeding $1,000, can receive discounts of up to 25% off the regular rate.</w:t>
      </w:r>
    </w:p>
    <w:p w14:paraId="1D3EDC1D" w14:textId="27523E73" w:rsidR="00610AA9" w:rsidRPr="00610AA9" w:rsidRDefault="00610AA9" w:rsidP="00610AA9">
      <w:pPr>
        <w:pStyle w:val="NoSpacing"/>
        <w:numPr>
          <w:ilvl w:val="0"/>
          <w:numId w:val="18"/>
        </w:numPr>
        <w:rPr>
          <w:rFonts w:cstheme="minorHAnsi"/>
        </w:rPr>
      </w:pPr>
      <w:r>
        <w:rPr>
          <w:rFonts w:cstheme="minorHAnsi"/>
        </w:rPr>
        <w:t xml:space="preserve">The digital access to </w:t>
      </w:r>
      <w:r>
        <w:t xml:space="preserve">For </w:t>
      </w:r>
      <w:r>
        <w:rPr>
          <w:i/>
          <w:iCs/>
        </w:rPr>
        <w:t xml:space="preserve">Banned Books: Defending Our Freedom to Read </w:t>
      </w:r>
      <w:r>
        <w:t xml:space="preserve">was provided as a </w:t>
      </w:r>
      <w:r w:rsidR="006738D5">
        <w:t>member</w:t>
      </w:r>
      <w:r>
        <w:t xml:space="preserve"> only resource during Banned Books Week</w:t>
      </w:r>
    </w:p>
    <w:p w14:paraId="67B81C6A" w14:textId="77777777" w:rsidR="006C3719" w:rsidRPr="00610AA9" w:rsidRDefault="006C3719" w:rsidP="0074243B">
      <w:pPr>
        <w:pStyle w:val="NoSpacing"/>
        <w:rPr>
          <w:rFonts w:cstheme="minorHAnsi"/>
          <w:b/>
          <w:bCs/>
        </w:rPr>
      </w:pPr>
    </w:p>
    <w:p w14:paraId="48A4540B" w14:textId="3F6D568A" w:rsidR="0074243B" w:rsidRPr="009B053A" w:rsidRDefault="009F4A34">
      <w:pPr>
        <w:spacing w:after="160" w:line="259" w:lineRule="auto"/>
        <w:rPr>
          <w:rFonts w:asciiTheme="minorHAnsi" w:eastAsiaTheme="minorHAnsi" w:hAnsiTheme="minorHAnsi" w:cstheme="minorBidi"/>
          <w:sz w:val="22"/>
          <w:szCs w:val="22"/>
        </w:rPr>
      </w:pPr>
      <w:r w:rsidRPr="00292939">
        <w:rPr>
          <w:rFonts w:asciiTheme="minorHAnsi" w:eastAsiaTheme="minorHAnsi" w:hAnsiTheme="minorHAnsi" w:cstheme="minorBidi"/>
          <w:b/>
          <w:bCs/>
          <w:sz w:val="22"/>
          <w:szCs w:val="22"/>
        </w:rPr>
        <w:t>Membership Recruitment:</w:t>
      </w:r>
      <w:r>
        <w:rPr>
          <w:rFonts w:asciiTheme="minorHAnsi" w:eastAsiaTheme="minorHAnsi" w:hAnsiTheme="minorHAnsi" w:cstheme="minorBidi"/>
          <w:b/>
          <w:bCs/>
          <w:sz w:val="22"/>
          <w:szCs w:val="22"/>
        </w:rPr>
        <w:t xml:space="preserve"> </w:t>
      </w:r>
      <w:r w:rsidR="009B053A">
        <w:rPr>
          <w:rFonts w:asciiTheme="minorHAnsi" w:eastAsiaTheme="minorHAnsi" w:hAnsiTheme="minorHAnsi" w:cstheme="minorBidi"/>
          <w:sz w:val="22"/>
          <w:szCs w:val="22"/>
        </w:rPr>
        <w:t>We continue to collaborate across the organization to engage non-members</w:t>
      </w:r>
      <w:r w:rsidR="006738D5">
        <w:rPr>
          <w:rFonts w:asciiTheme="minorHAnsi" w:eastAsiaTheme="minorHAnsi" w:hAnsiTheme="minorHAnsi" w:cstheme="minorBidi"/>
          <w:sz w:val="22"/>
          <w:szCs w:val="22"/>
        </w:rPr>
        <w:t xml:space="preserve">. </w:t>
      </w:r>
      <w:r w:rsidR="009B053A">
        <w:rPr>
          <w:rFonts w:asciiTheme="minorHAnsi" w:eastAsiaTheme="minorHAnsi" w:hAnsiTheme="minorHAnsi" w:cstheme="minorBidi"/>
          <w:sz w:val="22"/>
          <w:szCs w:val="22"/>
        </w:rPr>
        <w:t xml:space="preserve">This includes non-members customers, attendees and grant recipients and we are working towards operationalizing these outreach efforts. ALA’s Pivot Plan reflects continued membership </w:t>
      </w:r>
      <w:proofErr w:type="gramStart"/>
      <w:r w:rsidR="009B053A">
        <w:rPr>
          <w:rFonts w:asciiTheme="minorHAnsi" w:eastAsiaTheme="minorHAnsi" w:hAnsiTheme="minorHAnsi" w:cstheme="minorBidi"/>
          <w:sz w:val="22"/>
          <w:szCs w:val="22"/>
        </w:rPr>
        <w:t>growth</w:t>
      </w:r>
      <w:proofErr w:type="gramEnd"/>
      <w:r w:rsidR="009B053A">
        <w:rPr>
          <w:rFonts w:asciiTheme="minorHAnsi" w:eastAsiaTheme="minorHAnsi" w:hAnsiTheme="minorHAnsi" w:cstheme="minorBidi"/>
          <w:sz w:val="22"/>
          <w:szCs w:val="22"/>
        </w:rPr>
        <w:t xml:space="preserve"> and we are striving to increase our market share of library workers and</w:t>
      </w:r>
      <w:r w:rsidR="006738D5">
        <w:rPr>
          <w:rFonts w:asciiTheme="minorHAnsi" w:eastAsiaTheme="minorHAnsi" w:hAnsiTheme="minorHAnsi" w:cstheme="minorBidi"/>
          <w:sz w:val="22"/>
          <w:szCs w:val="22"/>
        </w:rPr>
        <w:t xml:space="preserve"> engage</w:t>
      </w:r>
      <w:r w:rsidR="009B053A">
        <w:rPr>
          <w:rFonts w:asciiTheme="minorHAnsi" w:eastAsiaTheme="minorHAnsi" w:hAnsiTheme="minorHAnsi" w:cstheme="minorBidi"/>
          <w:sz w:val="22"/>
          <w:szCs w:val="22"/>
        </w:rPr>
        <w:t xml:space="preserve"> library lovers.</w:t>
      </w:r>
    </w:p>
    <w:p w14:paraId="490822A6" w14:textId="77777777" w:rsidR="00292939" w:rsidRPr="009F4A34" w:rsidRDefault="00292939">
      <w:pPr>
        <w:spacing w:after="160" w:line="259" w:lineRule="auto"/>
        <w:rPr>
          <w:rFonts w:asciiTheme="minorHAnsi" w:eastAsiaTheme="minorHAnsi" w:hAnsiTheme="minorHAnsi" w:cstheme="minorBidi"/>
          <w:sz w:val="22"/>
          <w:szCs w:val="22"/>
        </w:rPr>
      </w:pPr>
    </w:p>
    <w:p w14:paraId="2C9338F8" w14:textId="77777777" w:rsidR="0074243B" w:rsidRDefault="0074243B">
      <w:pPr>
        <w:spacing w:after="160" w:line="259" w:lineRule="auto"/>
        <w:rPr>
          <w:rFonts w:asciiTheme="minorHAnsi" w:eastAsiaTheme="minorHAnsi" w:hAnsiTheme="minorHAnsi" w:cstheme="minorBidi"/>
          <w:b/>
          <w:bCs/>
          <w:sz w:val="32"/>
          <w:szCs w:val="32"/>
        </w:rPr>
      </w:pPr>
      <w:r>
        <w:rPr>
          <w:b/>
          <w:bCs/>
          <w:sz w:val="32"/>
          <w:szCs w:val="32"/>
        </w:rPr>
        <w:br w:type="page"/>
      </w:r>
    </w:p>
    <w:p w14:paraId="1EF8A789" w14:textId="27421102" w:rsidR="0074243B" w:rsidRPr="0074243B" w:rsidRDefault="0074243B" w:rsidP="00346575">
      <w:pPr>
        <w:pStyle w:val="NoSpacing"/>
        <w:rPr>
          <w:b/>
          <w:bCs/>
          <w:sz w:val="32"/>
          <w:szCs w:val="32"/>
        </w:rPr>
      </w:pPr>
      <w:r w:rsidRPr="0074243B">
        <w:rPr>
          <w:b/>
          <w:bCs/>
          <w:sz w:val="32"/>
          <w:szCs w:val="32"/>
        </w:rPr>
        <w:lastRenderedPageBreak/>
        <w:t>Membership Model Updated – Feedback Requested</w:t>
      </w:r>
    </w:p>
    <w:p w14:paraId="75638D72" w14:textId="77777777" w:rsidR="0074243B" w:rsidRDefault="0074243B" w:rsidP="00151FE8">
      <w:pPr>
        <w:pStyle w:val="NoSpacing"/>
        <w:rPr>
          <w:b/>
          <w:bCs/>
        </w:rPr>
      </w:pPr>
    </w:p>
    <w:p w14:paraId="5B5D93F4" w14:textId="641ADB7F" w:rsidR="00F548FB" w:rsidRDefault="00F52DED" w:rsidP="00151FE8">
      <w:pPr>
        <w:pStyle w:val="NoSpacing"/>
        <w:rPr>
          <w:b/>
          <w:bCs/>
        </w:rPr>
      </w:pPr>
      <w:r>
        <w:rPr>
          <w:b/>
          <w:bCs/>
        </w:rPr>
        <w:t xml:space="preserve">Overarching </w:t>
      </w:r>
      <w:r w:rsidR="00F548FB">
        <w:rPr>
          <w:b/>
          <w:bCs/>
        </w:rPr>
        <w:t>Goals</w:t>
      </w:r>
      <w:r w:rsidR="0074243B">
        <w:rPr>
          <w:b/>
          <w:bCs/>
        </w:rPr>
        <w:t xml:space="preserve"> of Membership Model</w:t>
      </w:r>
      <w:r w:rsidR="00BC0E1F">
        <w:rPr>
          <w:b/>
          <w:bCs/>
        </w:rPr>
        <w:t>:</w:t>
      </w:r>
    </w:p>
    <w:p w14:paraId="51B83293" w14:textId="19DD8313" w:rsidR="00F548FB" w:rsidRDefault="00F52DED" w:rsidP="00151FE8">
      <w:pPr>
        <w:pStyle w:val="NoSpacing"/>
      </w:pPr>
      <w:r>
        <w:t>As noted in ALA policy (</w:t>
      </w:r>
      <w:r w:rsidR="00F548FB">
        <w:t>Section A.1.6</w:t>
      </w:r>
      <w:r>
        <w:t>)</w:t>
      </w:r>
      <w:r w:rsidR="00F548FB">
        <w:t xml:space="preserve"> Member Engagement Goal Statement: ALA provides an environment in which all members, regardless of location or position, have the opportunity to participate in, contribute to, and benefit from engagement in their association.</w:t>
      </w:r>
    </w:p>
    <w:p w14:paraId="4957612D" w14:textId="227924A5" w:rsidR="00F548FB" w:rsidRDefault="00F548FB" w:rsidP="00151FE8">
      <w:pPr>
        <w:pStyle w:val="NoSpacing"/>
        <w:rPr>
          <w:b/>
          <w:bCs/>
        </w:rPr>
      </w:pPr>
    </w:p>
    <w:p w14:paraId="7E36ECB5" w14:textId="656C5EFB" w:rsidR="00F52DED" w:rsidRDefault="00F52DED" w:rsidP="00151FE8">
      <w:pPr>
        <w:pStyle w:val="NoSpacing"/>
      </w:pPr>
      <w:r>
        <w:t>With a market share of approximately 15%, there is great potential for growth</w:t>
      </w:r>
      <w:r w:rsidR="00BC0E1F">
        <w:t>;</w:t>
      </w:r>
      <w:r>
        <w:t xml:space="preserve"> however, recent research has indicated that the complexities and cost of the membership model is a barrier to membership. As presented to the board in Fall, 2019 (EBD 12.20), </w:t>
      </w:r>
      <w:r w:rsidR="00CD23A1">
        <w:t>the Membership Committee is</w:t>
      </w:r>
      <w:r w:rsidR="00BC0E1F">
        <w:t xml:space="preserve"> recommending a modification to the membership model to achieve the following goals: Simplicity, F</w:t>
      </w:r>
      <w:r>
        <w:t>lexibility</w:t>
      </w:r>
      <w:r w:rsidR="00BC0E1F">
        <w:t xml:space="preserve">, and </w:t>
      </w:r>
      <w:r>
        <w:t>Personaliz</w:t>
      </w:r>
      <w:r w:rsidR="00BC0E1F">
        <w:t>ation.</w:t>
      </w:r>
      <w:r w:rsidR="00CD23A1">
        <w:t xml:space="preserve"> We want to ensure that this model positions ALA as the professional membership home for </w:t>
      </w:r>
      <w:r w:rsidR="000C0740" w:rsidRPr="00080B0B">
        <w:rPr>
          <w:i/>
          <w:iCs/>
        </w:rPr>
        <w:t>all</w:t>
      </w:r>
      <w:r w:rsidR="000C0740">
        <w:t xml:space="preserve"> </w:t>
      </w:r>
      <w:r w:rsidR="00CD23A1">
        <w:t>library workers especially those not current</w:t>
      </w:r>
      <w:r w:rsidR="000C0740">
        <w:t>ly</w:t>
      </w:r>
      <w:r w:rsidR="00CD23A1">
        <w:t xml:space="preserve"> represented within our membership.</w:t>
      </w:r>
    </w:p>
    <w:p w14:paraId="4DEADC27" w14:textId="774DC2ED" w:rsidR="00F52DED" w:rsidRDefault="00F52DED" w:rsidP="00151FE8">
      <w:pPr>
        <w:pStyle w:val="NoSpacing"/>
      </w:pPr>
    </w:p>
    <w:p w14:paraId="62B1C091" w14:textId="26928C0F" w:rsidR="00BF35B9" w:rsidRDefault="000C0740" w:rsidP="00151FE8">
      <w:pPr>
        <w:pStyle w:val="NoSpacing"/>
        <w:rPr>
          <w:bCs/>
        </w:rPr>
      </w:pPr>
      <w:r>
        <w:rPr>
          <w:bCs/>
        </w:rPr>
        <w:t xml:space="preserve">In 2018, ALA contracted with a market research firm, </w:t>
      </w:r>
      <w:r w:rsidR="00BF35B9">
        <w:rPr>
          <w:bCs/>
        </w:rPr>
        <w:t>Avenue M</w:t>
      </w:r>
      <w:r>
        <w:rPr>
          <w:bCs/>
        </w:rPr>
        <w:t xml:space="preserve"> </w:t>
      </w:r>
      <w:r w:rsidR="00626315">
        <w:rPr>
          <w:bCs/>
        </w:rPr>
        <w:t>which</w:t>
      </w:r>
      <w:r w:rsidR="00BF35B9">
        <w:rPr>
          <w:bCs/>
        </w:rPr>
        <w:t xml:space="preserve"> presented five recommended models to ALA</w:t>
      </w:r>
      <w:r>
        <w:rPr>
          <w:bCs/>
        </w:rPr>
        <w:t>.</w:t>
      </w:r>
      <w:r w:rsidR="00BF35B9">
        <w:rPr>
          <w:bCs/>
        </w:rPr>
        <w:t xml:space="preserve"> </w:t>
      </w:r>
      <w:r>
        <w:rPr>
          <w:bCs/>
        </w:rPr>
        <w:t>After review and deliberation, t</w:t>
      </w:r>
      <w:r w:rsidR="00BF35B9">
        <w:rPr>
          <w:bCs/>
        </w:rPr>
        <w:t xml:space="preserve">he </w:t>
      </w:r>
      <w:r w:rsidR="00BF35B9" w:rsidRPr="004C3281">
        <w:rPr>
          <w:bCs/>
        </w:rPr>
        <w:t xml:space="preserve">Membership Committee </w:t>
      </w:r>
      <w:r w:rsidR="00BF35B9">
        <w:rPr>
          <w:bCs/>
        </w:rPr>
        <w:t xml:space="preserve">is recommending a </w:t>
      </w:r>
      <w:r w:rsidR="00626315">
        <w:rPr>
          <w:bCs/>
        </w:rPr>
        <w:t>two-phase</w:t>
      </w:r>
      <w:r w:rsidR="00BF35B9">
        <w:rPr>
          <w:bCs/>
        </w:rPr>
        <w:t xml:space="preserve"> approach to </w:t>
      </w:r>
      <w:r>
        <w:rPr>
          <w:bCs/>
        </w:rPr>
        <w:t xml:space="preserve">ALA’s </w:t>
      </w:r>
      <w:r w:rsidR="00BF35B9">
        <w:rPr>
          <w:bCs/>
        </w:rPr>
        <w:t>membership model</w:t>
      </w:r>
      <w:r w:rsidR="00626315">
        <w:rPr>
          <w:bCs/>
        </w:rPr>
        <w:t xml:space="preserve"> work</w:t>
      </w:r>
      <w:r w:rsidR="00BF35B9">
        <w:rPr>
          <w:bCs/>
        </w:rPr>
        <w:t>:</w:t>
      </w:r>
    </w:p>
    <w:p w14:paraId="217998B5" w14:textId="77777777" w:rsidR="0074243B" w:rsidRDefault="0074243B" w:rsidP="0074243B">
      <w:pPr>
        <w:pStyle w:val="NoSpacing"/>
        <w:ind w:left="2160" w:hanging="1440"/>
        <w:rPr>
          <w:b/>
        </w:rPr>
      </w:pPr>
    </w:p>
    <w:p w14:paraId="1974EAD1" w14:textId="698EAC6C" w:rsidR="00BF35B9" w:rsidRDefault="00BF35B9" w:rsidP="0074243B">
      <w:pPr>
        <w:pStyle w:val="NoSpacing"/>
        <w:ind w:left="2160" w:hanging="1440"/>
        <w:rPr>
          <w:bCs/>
        </w:rPr>
      </w:pPr>
      <w:r w:rsidRPr="00626315">
        <w:rPr>
          <w:b/>
        </w:rPr>
        <w:t>Phase One:</w:t>
      </w:r>
      <w:r w:rsidR="0074243B">
        <w:rPr>
          <w:bCs/>
        </w:rPr>
        <w:tab/>
      </w:r>
      <w:r>
        <w:rPr>
          <w:bCs/>
        </w:rPr>
        <w:t xml:space="preserve">Consolidate the </w:t>
      </w:r>
      <w:r w:rsidR="00ED3753">
        <w:rPr>
          <w:bCs/>
        </w:rPr>
        <w:t>eleven (</w:t>
      </w:r>
      <w:r>
        <w:rPr>
          <w:bCs/>
        </w:rPr>
        <w:t>11</w:t>
      </w:r>
      <w:r w:rsidR="00ED3753">
        <w:rPr>
          <w:bCs/>
        </w:rPr>
        <w:t>)</w:t>
      </w:r>
      <w:r>
        <w:rPr>
          <w:bCs/>
        </w:rPr>
        <w:t xml:space="preserve"> membership categories into</w:t>
      </w:r>
      <w:r w:rsidR="00ED3753">
        <w:rPr>
          <w:bCs/>
        </w:rPr>
        <w:t xml:space="preserve"> four</w:t>
      </w:r>
      <w:r w:rsidR="002F4BF4">
        <w:rPr>
          <w:bCs/>
        </w:rPr>
        <w:t xml:space="preserve"> </w:t>
      </w:r>
      <w:r w:rsidR="00ED3753">
        <w:rPr>
          <w:bCs/>
        </w:rPr>
        <w:t>(</w:t>
      </w:r>
      <w:r w:rsidR="002F4BF4">
        <w:rPr>
          <w:bCs/>
        </w:rPr>
        <w:t>4</w:t>
      </w:r>
      <w:r w:rsidR="00ED3753">
        <w:rPr>
          <w:bCs/>
        </w:rPr>
        <w:t>)</w:t>
      </w:r>
      <w:r>
        <w:rPr>
          <w:bCs/>
        </w:rPr>
        <w:t xml:space="preserve"> </w:t>
      </w:r>
      <w:r w:rsidR="00E72DC1">
        <w:rPr>
          <w:bCs/>
        </w:rPr>
        <w:t xml:space="preserve">membership categories. The goal would take effect in </w:t>
      </w:r>
      <w:r w:rsidR="00DC6894">
        <w:rPr>
          <w:bCs/>
        </w:rPr>
        <w:t xml:space="preserve">FY23 </w:t>
      </w:r>
      <w:r w:rsidR="008F559E">
        <w:rPr>
          <w:bCs/>
        </w:rPr>
        <w:t>(</w:t>
      </w:r>
      <w:r w:rsidR="00080B0B">
        <w:t>Executive Board, Council and Member Vote</w:t>
      </w:r>
      <w:r w:rsidR="00080B0B" w:rsidDel="00080B0B">
        <w:rPr>
          <w:bCs/>
        </w:rPr>
        <w:t xml:space="preserve"> </w:t>
      </w:r>
      <w:r w:rsidR="00BC0E1F">
        <w:rPr>
          <w:bCs/>
        </w:rPr>
        <w:t>in Early, 2022</w:t>
      </w:r>
      <w:r w:rsidR="008F559E">
        <w:rPr>
          <w:bCs/>
        </w:rPr>
        <w:t>)</w:t>
      </w:r>
      <w:r w:rsidR="00626315">
        <w:rPr>
          <w:bCs/>
        </w:rPr>
        <w:t xml:space="preserve"> and would not change division or round table structures.</w:t>
      </w:r>
      <w:r w:rsidR="00FE67C1">
        <w:rPr>
          <w:bCs/>
        </w:rPr>
        <w:t xml:space="preserve"> See Table 1: Phase One Recommendations for more details.</w:t>
      </w:r>
    </w:p>
    <w:p w14:paraId="7CFBF8D1" w14:textId="6B9C62FE" w:rsidR="00BF35B9" w:rsidRDefault="00BF35B9" w:rsidP="0074243B">
      <w:pPr>
        <w:pStyle w:val="NoSpacing"/>
        <w:ind w:left="2160" w:hanging="1440"/>
        <w:rPr>
          <w:bCs/>
        </w:rPr>
      </w:pPr>
      <w:r w:rsidRPr="00626315">
        <w:rPr>
          <w:b/>
        </w:rPr>
        <w:t>Phase Two:</w:t>
      </w:r>
      <w:r>
        <w:rPr>
          <w:bCs/>
        </w:rPr>
        <w:t xml:space="preserve"> </w:t>
      </w:r>
      <w:r w:rsidR="0074243B">
        <w:rPr>
          <w:bCs/>
        </w:rPr>
        <w:tab/>
      </w:r>
      <w:r w:rsidR="00FE67C1">
        <w:rPr>
          <w:bCs/>
        </w:rPr>
        <w:t xml:space="preserve">Building upon Phase </w:t>
      </w:r>
      <w:r w:rsidR="00626315">
        <w:rPr>
          <w:bCs/>
        </w:rPr>
        <w:t>One</w:t>
      </w:r>
      <w:r w:rsidR="00FE67C1">
        <w:rPr>
          <w:bCs/>
        </w:rPr>
        <w:t>, l</w:t>
      </w:r>
      <w:r>
        <w:rPr>
          <w:bCs/>
        </w:rPr>
        <w:t xml:space="preserve">aunch an </w:t>
      </w:r>
      <w:r w:rsidR="00626315">
        <w:rPr>
          <w:bCs/>
        </w:rPr>
        <w:t>“</w:t>
      </w:r>
      <w:r>
        <w:rPr>
          <w:bCs/>
        </w:rPr>
        <w:t>enhanced</w:t>
      </w:r>
      <w:r w:rsidR="00626315">
        <w:rPr>
          <w:bCs/>
        </w:rPr>
        <w:t>”</w:t>
      </w:r>
      <w:r>
        <w:rPr>
          <w:bCs/>
        </w:rPr>
        <w:t xml:space="preserve"> membership package which will include a bundle of additional benefits</w:t>
      </w:r>
      <w:r w:rsidR="00E72DC1">
        <w:rPr>
          <w:bCs/>
        </w:rPr>
        <w:t>.</w:t>
      </w:r>
      <w:r>
        <w:rPr>
          <w:bCs/>
        </w:rPr>
        <w:t xml:space="preserve"> </w:t>
      </w:r>
      <w:r w:rsidR="00E72DC1">
        <w:rPr>
          <w:bCs/>
        </w:rPr>
        <w:t xml:space="preserve">Examples of </w:t>
      </w:r>
      <w:r w:rsidR="00626315">
        <w:rPr>
          <w:bCs/>
        </w:rPr>
        <w:t xml:space="preserve">the bundled </w:t>
      </w:r>
      <w:r w:rsidR="00E72DC1">
        <w:rPr>
          <w:bCs/>
        </w:rPr>
        <w:t xml:space="preserve">benefits </w:t>
      </w:r>
      <w:r>
        <w:rPr>
          <w:bCs/>
        </w:rPr>
        <w:t>may include a division, a round table membership and/or professional development</w:t>
      </w:r>
      <w:r w:rsidR="00E72DC1">
        <w:rPr>
          <w:bCs/>
        </w:rPr>
        <w:t xml:space="preserve"> offerings</w:t>
      </w:r>
      <w:r>
        <w:rPr>
          <w:bCs/>
        </w:rPr>
        <w:t>.</w:t>
      </w:r>
    </w:p>
    <w:p w14:paraId="7B7477C4" w14:textId="3279F697" w:rsidR="00BF35B9" w:rsidRDefault="00BF35B9" w:rsidP="00151FE8">
      <w:pPr>
        <w:pStyle w:val="NoSpacing"/>
        <w:rPr>
          <w:bCs/>
        </w:rPr>
      </w:pPr>
    </w:p>
    <w:p w14:paraId="707022E1" w14:textId="2DECCC15" w:rsidR="00E734D1" w:rsidRDefault="00E734D1" w:rsidP="00151FE8">
      <w:pPr>
        <w:pStyle w:val="NoSpacing"/>
      </w:pPr>
      <w:r>
        <w:t xml:space="preserve">With the </w:t>
      </w:r>
      <w:r w:rsidR="00626315">
        <w:t>two-phase</w:t>
      </w:r>
      <w:r>
        <w:t xml:space="preserve"> approach, the Membership Committee is focusing on the first goal of simplification with this collapsed model. We are also aiming to launch the monthly installment payment plan to ensure flexibility and affordability. Phase two will tackle the goal of personalization.</w:t>
      </w:r>
    </w:p>
    <w:p w14:paraId="47F58EF4" w14:textId="77777777" w:rsidR="00E734D1" w:rsidRDefault="00E734D1" w:rsidP="00151FE8">
      <w:pPr>
        <w:pStyle w:val="NoSpacing"/>
        <w:rPr>
          <w:bCs/>
        </w:rPr>
      </w:pPr>
    </w:p>
    <w:p w14:paraId="6AD13070" w14:textId="312033BF" w:rsidR="00BF35B9" w:rsidRDefault="00BF35B9" w:rsidP="00151FE8">
      <w:pPr>
        <w:pStyle w:val="NoSpacing"/>
        <w:rPr>
          <w:b/>
        </w:rPr>
      </w:pPr>
      <w:r>
        <w:rPr>
          <w:b/>
        </w:rPr>
        <w:t>Phase One</w:t>
      </w:r>
      <w:r w:rsidR="006B2955">
        <w:rPr>
          <w:b/>
        </w:rPr>
        <w:t xml:space="preserve"> – for Board Feedback</w:t>
      </w:r>
      <w:r>
        <w:rPr>
          <w:b/>
        </w:rPr>
        <w:t>:</w:t>
      </w:r>
    </w:p>
    <w:p w14:paraId="413DECCA" w14:textId="79A4A143" w:rsidR="00BF35B9" w:rsidRDefault="00BF35B9" w:rsidP="00151FE8">
      <w:pPr>
        <w:pStyle w:val="NoSpacing"/>
        <w:rPr>
          <w:bCs/>
        </w:rPr>
      </w:pPr>
      <w:r>
        <w:rPr>
          <w:bCs/>
        </w:rPr>
        <w:t xml:space="preserve">Consolidate the </w:t>
      </w:r>
      <w:r w:rsidR="00ED3753">
        <w:rPr>
          <w:bCs/>
        </w:rPr>
        <w:t>eleven (</w:t>
      </w:r>
      <w:r>
        <w:rPr>
          <w:bCs/>
        </w:rPr>
        <w:t>11</w:t>
      </w:r>
      <w:r w:rsidR="00ED3753">
        <w:rPr>
          <w:bCs/>
        </w:rPr>
        <w:t>)</w:t>
      </w:r>
      <w:r>
        <w:rPr>
          <w:bCs/>
        </w:rPr>
        <w:t xml:space="preserve"> membership categories as outlined below. All member benefits and privileges will remain the same as they do today</w:t>
      </w:r>
      <w:r w:rsidR="008F559E">
        <w:rPr>
          <w:bCs/>
        </w:rPr>
        <w:t xml:space="preserve"> </w:t>
      </w:r>
      <w:proofErr w:type="gramStart"/>
      <w:r w:rsidR="008F559E">
        <w:rPr>
          <w:bCs/>
        </w:rPr>
        <w:t>including</w:t>
      </w:r>
      <w:proofErr w:type="gramEnd"/>
      <w:r w:rsidR="008F559E">
        <w:rPr>
          <w:bCs/>
        </w:rPr>
        <w:t xml:space="preserve"> discounts, voting rights and ability to volunteer.</w:t>
      </w:r>
      <w:r w:rsidR="006B2955">
        <w:rPr>
          <w:bCs/>
        </w:rPr>
        <w:t xml:space="preserve">  </w:t>
      </w:r>
    </w:p>
    <w:p w14:paraId="27BE9EEF" w14:textId="56E3FB75" w:rsidR="008F559E" w:rsidRDefault="008F559E" w:rsidP="00151FE8">
      <w:pPr>
        <w:pStyle w:val="NoSpacing"/>
        <w:rPr>
          <w:bCs/>
        </w:rPr>
      </w:pPr>
    </w:p>
    <w:p w14:paraId="7C10A021" w14:textId="78410A90" w:rsidR="008F559E" w:rsidRDefault="008F559E" w:rsidP="0074243B">
      <w:pPr>
        <w:pStyle w:val="NoSpacing"/>
        <w:ind w:left="720"/>
        <w:rPr>
          <w:bCs/>
        </w:rPr>
      </w:pPr>
      <w:r>
        <w:rPr>
          <w:bCs/>
        </w:rPr>
        <w:t xml:space="preserve">Pros – Consistent dues for members will minimize confusion and </w:t>
      </w:r>
      <w:r w:rsidR="008B4D28">
        <w:rPr>
          <w:bCs/>
        </w:rPr>
        <w:t xml:space="preserve">promote </w:t>
      </w:r>
      <w:r w:rsidR="00ED3753">
        <w:rPr>
          <w:bCs/>
        </w:rPr>
        <w:t xml:space="preserve">ease of access and </w:t>
      </w:r>
      <w:r w:rsidR="008B4D28">
        <w:rPr>
          <w:bCs/>
        </w:rPr>
        <w:t xml:space="preserve">equity as members will be able to </w:t>
      </w:r>
      <w:r w:rsidR="00F411B0">
        <w:rPr>
          <w:bCs/>
        </w:rPr>
        <w:t>engage with ALA</w:t>
      </w:r>
      <w:r w:rsidR="00ED3753">
        <w:rPr>
          <w:bCs/>
        </w:rPr>
        <w:t xml:space="preserve"> under four (4) simple categories</w:t>
      </w:r>
      <w:r w:rsidR="008B4D28">
        <w:rPr>
          <w:bCs/>
        </w:rPr>
        <w:t xml:space="preserve">. </w:t>
      </w:r>
      <w:r w:rsidR="00ED3753">
        <w:rPr>
          <w:bCs/>
        </w:rPr>
        <w:t xml:space="preserve">Additionally, this will </w:t>
      </w:r>
      <w:r>
        <w:rPr>
          <w:bCs/>
        </w:rPr>
        <w:t xml:space="preserve">decrease the amount of time spent on inquiries, technology mapping, and membership recruitment </w:t>
      </w:r>
      <w:r w:rsidR="00ED3753">
        <w:rPr>
          <w:bCs/>
        </w:rPr>
        <w:t>efforts</w:t>
      </w:r>
      <w:r>
        <w:rPr>
          <w:bCs/>
        </w:rPr>
        <w:t>.</w:t>
      </w:r>
    </w:p>
    <w:p w14:paraId="183C2FF6" w14:textId="71CE4616" w:rsidR="00165B69" w:rsidRDefault="008F559E" w:rsidP="0074243B">
      <w:pPr>
        <w:pStyle w:val="NoSpacing"/>
        <w:ind w:left="720"/>
        <w:rPr>
          <w:bCs/>
        </w:rPr>
      </w:pPr>
      <w:r>
        <w:rPr>
          <w:bCs/>
        </w:rPr>
        <w:t xml:space="preserve">Cons – While this achieves the goal of simplification, this does not achieve the goal of flexibility. The </w:t>
      </w:r>
      <w:r w:rsidR="00464C1C">
        <w:rPr>
          <w:bCs/>
        </w:rPr>
        <w:t>pricing</w:t>
      </w:r>
      <w:r>
        <w:rPr>
          <w:bCs/>
        </w:rPr>
        <w:t xml:space="preserve"> may not be different enough to combat the opinion that our dues are too expensive.</w:t>
      </w:r>
    </w:p>
    <w:p w14:paraId="31A6504D" w14:textId="77777777" w:rsidR="00BC0E1F" w:rsidRDefault="00BC0E1F" w:rsidP="00151FE8">
      <w:pPr>
        <w:pStyle w:val="NoSpacing"/>
        <w:rPr>
          <w:bCs/>
        </w:rPr>
      </w:pPr>
    </w:p>
    <w:p w14:paraId="5463796E" w14:textId="77777777" w:rsidR="00BC0E1F" w:rsidRPr="004B675F" w:rsidRDefault="00BC0E1F" w:rsidP="00151FE8">
      <w:pPr>
        <w:pStyle w:val="NoSpacing"/>
        <w:rPr>
          <w:b/>
        </w:rPr>
      </w:pPr>
      <w:r>
        <w:rPr>
          <w:b/>
        </w:rPr>
        <w:t>Phase Two:</w:t>
      </w:r>
    </w:p>
    <w:p w14:paraId="07365A8A" w14:textId="54CF4C8E" w:rsidR="00BC0E1F" w:rsidRPr="004B675F" w:rsidRDefault="00626315" w:rsidP="00151FE8">
      <w:pPr>
        <w:pStyle w:val="NoSpacing"/>
        <w:rPr>
          <w:bCs/>
        </w:rPr>
      </w:pPr>
      <w:r>
        <w:rPr>
          <w:bCs/>
        </w:rPr>
        <w:t xml:space="preserve">Due to a lack of pricing standardization, the Membership Committee is unable to conduct a financial analysis on bundling including </w:t>
      </w:r>
      <w:r w:rsidR="00BC0E1F">
        <w:rPr>
          <w:bCs/>
        </w:rPr>
        <w:t>division</w:t>
      </w:r>
      <w:r>
        <w:rPr>
          <w:bCs/>
        </w:rPr>
        <w:t xml:space="preserve"> membership, round table membership or online learning offering. </w:t>
      </w:r>
      <w:r w:rsidR="00BC0E1F">
        <w:rPr>
          <w:bCs/>
        </w:rPr>
        <w:t xml:space="preserve">Phase Two will begin when some of the standardization initiatives </w:t>
      </w:r>
      <w:r w:rsidR="00E734D1">
        <w:rPr>
          <w:bCs/>
        </w:rPr>
        <w:t xml:space="preserve">across the organization </w:t>
      </w:r>
      <w:r w:rsidR="00BC0E1F">
        <w:rPr>
          <w:bCs/>
        </w:rPr>
        <w:t xml:space="preserve">conclude and the financial analysis and technology requirements can be </w:t>
      </w:r>
      <w:r>
        <w:rPr>
          <w:bCs/>
        </w:rPr>
        <w:t>conducted</w:t>
      </w:r>
      <w:r w:rsidR="00BC0E1F">
        <w:rPr>
          <w:bCs/>
        </w:rPr>
        <w:t>.</w:t>
      </w:r>
    </w:p>
    <w:p w14:paraId="1913E713" w14:textId="41FD68B2" w:rsidR="002F4BF4" w:rsidRDefault="002F4BF4" w:rsidP="00151FE8">
      <w:pPr>
        <w:pStyle w:val="NoSpacing"/>
        <w:rPr>
          <w:bCs/>
        </w:rPr>
      </w:pPr>
      <w:r>
        <w:rPr>
          <w:bCs/>
        </w:rPr>
        <w:br w:type="page"/>
      </w:r>
    </w:p>
    <w:p w14:paraId="7BF37C0B" w14:textId="77777777" w:rsidR="002F4BF4" w:rsidRDefault="002F4BF4" w:rsidP="00151FE8">
      <w:pPr>
        <w:pStyle w:val="NoSpacing"/>
      </w:pPr>
    </w:p>
    <w:p w14:paraId="7119D7B3" w14:textId="723F22BB" w:rsidR="004D28C7" w:rsidRPr="0074243B" w:rsidRDefault="00FE67C1" w:rsidP="00151FE8">
      <w:pPr>
        <w:pStyle w:val="NoSpacing"/>
        <w:rPr>
          <w:b/>
          <w:bCs/>
          <w:sz w:val="32"/>
          <w:szCs w:val="32"/>
        </w:rPr>
      </w:pPr>
      <w:r w:rsidRPr="0074243B">
        <w:rPr>
          <w:b/>
          <w:bCs/>
          <w:sz w:val="32"/>
          <w:szCs w:val="32"/>
          <w:u w:val="single"/>
        </w:rPr>
        <w:t xml:space="preserve">Table 1: </w:t>
      </w:r>
      <w:r w:rsidR="004D28C7" w:rsidRPr="0074243B">
        <w:rPr>
          <w:b/>
          <w:bCs/>
          <w:sz w:val="32"/>
          <w:szCs w:val="32"/>
          <w:u w:val="single"/>
        </w:rPr>
        <w:t>Phase One Recommendation</w:t>
      </w:r>
    </w:p>
    <w:p w14:paraId="3270B57A" w14:textId="77777777" w:rsidR="004D28C7" w:rsidRPr="004D28C7" w:rsidRDefault="004D28C7" w:rsidP="00151FE8">
      <w:pPr>
        <w:pStyle w:val="NoSpacing"/>
        <w:rPr>
          <w:b/>
          <w:bCs/>
        </w:rPr>
      </w:pPr>
    </w:p>
    <w:tbl>
      <w:tblPr>
        <w:tblStyle w:val="TableGrid"/>
        <w:tblW w:w="0" w:type="auto"/>
        <w:jc w:val="center"/>
        <w:tblInd w:w="0" w:type="dxa"/>
        <w:tblLook w:val="04A0" w:firstRow="1" w:lastRow="0" w:firstColumn="1" w:lastColumn="0" w:noHBand="0" w:noVBand="1"/>
      </w:tblPr>
      <w:tblGrid>
        <w:gridCol w:w="1525"/>
        <w:gridCol w:w="1138"/>
        <w:gridCol w:w="1084"/>
        <w:gridCol w:w="3014"/>
        <w:gridCol w:w="1171"/>
        <w:gridCol w:w="2858"/>
      </w:tblGrid>
      <w:tr w:rsidR="00861E2F" w:rsidRPr="004C3281" w14:paraId="37E4E149" w14:textId="77777777" w:rsidTr="00861E2F">
        <w:trPr>
          <w:trHeight w:val="347"/>
          <w:jc w:val="center"/>
        </w:trPr>
        <w:tc>
          <w:tcPr>
            <w:tcW w:w="1525" w:type="dxa"/>
            <w:tcBorders>
              <w:top w:val="single" w:sz="4" w:space="0" w:color="auto"/>
              <w:left w:val="single" w:sz="4" w:space="0" w:color="auto"/>
              <w:bottom w:val="single" w:sz="4" w:space="0" w:color="auto"/>
              <w:right w:val="single" w:sz="4" w:space="0" w:color="auto"/>
            </w:tcBorders>
            <w:hideMark/>
          </w:tcPr>
          <w:p w14:paraId="0E8E53D3" w14:textId="77777777" w:rsidR="00861E2F" w:rsidRPr="00E37EB6" w:rsidRDefault="00861E2F" w:rsidP="00151FE8">
            <w:pPr>
              <w:pStyle w:val="NoSpacing"/>
              <w:rPr>
                <w:b/>
                <w:bCs/>
              </w:rPr>
            </w:pPr>
            <w:r w:rsidRPr="00E37EB6">
              <w:rPr>
                <w:b/>
                <w:bCs/>
              </w:rPr>
              <w:t>Current Member Type</w:t>
            </w:r>
          </w:p>
        </w:tc>
        <w:tc>
          <w:tcPr>
            <w:tcW w:w="1138" w:type="dxa"/>
            <w:tcBorders>
              <w:top w:val="single" w:sz="4" w:space="0" w:color="auto"/>
              <w:left w:val="single" w:sz="4" w:space="0" w:color="auto"/>
              <w:bottom w:val="single" w:sz="4" w:space="0" w:color="auto"/>
              <w:right w:val="single" w:sz="4" w:space="0" w:color="auto"/>
            </w:tcBorders>
          </w:tcPr>
          <w:p w14:paraId="37014B1C" w14:textId="7D0FA918" w:rsidR="00861E2F" w:rsidRPr="00E37EB6" w:rsidRDefault="00861E2F" w:rsidP="00151FE8">
            <w:pPr>
              <w:pStyle w:val="NoSpacing"/>
              <w:rPr>
                <w:b/>
                <w:bCs/>
              </w:rPr>
            </w:pPr>
            <w:r>
              <w:rPr>
                <w:b/>
                <w:bCs/>
              </w:rPr>
              <w:t>Feb. 2020 Counts</w:t>
            </w:r>
          </w:p>
        </w:tc>
        <w:tc>
          <w:tcPr>
            <w:tcW w:w="1084" w:type="dxa"/>
            <w:tcBorders>
              <w:top w:val="single" w:sz="4" w:space="0" w:color="auto"/>
              <w:left w:val="single" w:sz="4" w:space="0" w:color="auto"/>
              <w:bottom w:val="single" w:sz="4" w:space="0" w:color="auto"/>
              <w:right w:val="single" w:sz="4" w:space="0" w:color="auto"/>
            </w:tcBorders>
            <w:shd w:val="clear" w:color="auto" w:fill="auto"/>
            <w:hideMark/>
          </w:tcPr>
          <w:p w14:paraId="05326D4B" w14:textId="06599DA4" w:rsidR="00861E2F" w:rsidRPr="00E37EB6" w:rsidRDefault="00861E2F" w:rsidP="00151FE8">
            <w:pPr>
              <w:pStyle w:val="NoSpacing"/>
              <w:rPr>
                <w:b/>
                <w:bCs/>
              </w:rPr>
            </w:pPr>
            <w:r w:rsidRPr="00E37EB6">
              <w:rPr>
                <w:b/>
                <w:bCs/>
              </w:rPr>
              <w:t>Current Dues</w:t>
            </w:r>
          </w:p>
        </w:tc>
        <w:tc>
          <w:tcPr>
            <w:tcW w:w="3014" w:type="dxa"/>
            <w:tcBorders>
              <w:top w:val="single" w:sz="4" w:space="0" w:color="auto"/>
              <w:left w:val="single" w:sz="4" w:space="0" w:color="auto"/>
              <w:bottom w:val="single" w:sz="4" w:space="0" w:color="auto"/>
              <w:right w:val="single" w:sz="4" w:space="0" w:color="auto"/>
            </w:tcBorders>
            <w:hideMark/>
          </w:tcPr>
          <w:p w14:paraId="7A978D17" w14:textId="1163BE3E" w:rsidR="00861E2F" w:rsidRPr="00E37EB6" w:rsidRDefault="00861E2F" w:rsidP="00151FE8">
            <w:pPr>
              <w:pStyle w:val="NoSpacing"/>
              <w:rPr>
                <w:b/>
                <w:bCs/>
              </w:rPr>
            </w:pPr>
            <w:r w:rsidRPr="00E37EB6">
              <w:rPr>
                <w:b/>
                <w:bCs/>
              </w:rPr>
              <w:t>New Member Type</w:t>
            </w:r>
          </w:p>
        </w:tc>
        <w:tc>
          <w:tcPr>
            <w:tcW w:w="1171" w:type="dxa"/>
            <w:tcBorders>
              <w:top w:val="single" w:sz="4" w:space="0" w:color="auto"/>
              <w:left w:val="single" w:sz="4" w:space="0" w:color="auto"/>
              <w:bottom w:val="single" w:sz="4" w:space="0" w:color="auto"/>
              <w:right w:val="single" w:sz="4" w:space="0" w:color="auto"/>
            </w:tcBorders>
          </w:tcPr>
          <w:p w14:paraId="798A11E1" w14:textId="28E2C2ED" w:rsidR="00861E2F" w:rsidRDefault="00861E2F" w:rsidP="00151FE8">
            <w:pPr>
              <w:pStyle w:val="NoSpacing"/>
              <w:rPr>
                <w:b/>
                <w:bCs/>
              </w:rPr>
            </w:pPr>
            <w:r>
              <w:rPr>
                <w:b/>
                <w:bCs/>
              </w:rPr>
              <w:t>Proposed Dues</w:t>
            </w:r>
          </w:p>
        </w:tc>
        <w:tc>
          <w:tcPr>
            <w:tcW w:w="2858" w:type="dxa"/>
            <w:tcBorders>
              <w:top w:val="single" w:sz="4" w:space="0" w:color="auto"/>
              <w:left w:val="single" w:sz="4" w:space="0" w:color="auto"/>
              <w:bottom w:val="single" w:sz="4" w:space="0" w:color="auto"/>
              <w:right w:val="single" w:sz="4" w:space="0" w:color="auto"/>
            </w:tcBorders>
          </w:tcPr>
          <w:p w14:paraId="230CAA10" w14:textId="19414F40" w:rsidR="00861E2F" w:rsidRPr="00E37EB6" w:rsidRDefault="00861E2F" w:rsidP="00151FE8">
            <w:pPr>
              <w:pStyle w:val="NoSpacing"/>
              <w:rPr>
                <w:b/>
                <w:bCs/>
              </w:rPr>
            </w:pPr>
            <w:r>
              <w:rPr>
                <w:b/>
                <w:bCs/>
              </w:rPr>
              <w:t>Notes</w:t>
            </w:r>
          </w:p>
        </w:tc>
      </w:tr>
      <w:tr w:rsidR="00861E2F" w:rsidRPr="004C3281" w14:paraId="6F497EB2" w14:textId="77777777" w:rsidTr="00861E2F">
        <w:trPr>
          <w:trHeight w:val="223"/>
          <w:jc w:val="center"/>
        </w:trPr>
        <w:tc>
          <w:tcPr>
            <w:tcW w:w="152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7F77DAE" w14:textId="6C79898A" w:rsidR="00861E2F" w:rsidRDefault="00861E2F" w:rsidP="00151FE8">
            <w:pPr>
              <w:pStyle w:val="NoSpacing"/>
            </w:pPr>
            <w:r w:rsidRPr="004C3281">
              <w:t>1st year</w:t>
            </w:r>
          </w:p>
          <w:p w14:paraId="0D9E52E5" w14:textId="77777777" w:rsidR="00861E2F" w:rsidRDefault="00861E2F" w:rsidP="00151FE8">
            <w:pPr>
              <w:pStyle w:val="NoSpacing"/>
            </w:pPr>
          </w:p>
          <w:p w14:paraId="62A36D35" w14:textId="2F6BDC84" w:rsidR="00861E2F" w:rsidRPr="004C3281" w:rsidRDefault="00861E2F" w:rsidP="00151FE8">
            <w:pPr>
              <w:pStyle w:val="NoSpacing"/>
            </w:pPr>
          </w:p>
        </w:tc>
        <w:tc>
          <w:tcPr>
            <w:tcW w:w="113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0417116" w14:textId="6040404C" w:rsidR="00861E2F" w:rsidRPr="004C3281" w:rsidRDefault="00D616CA" w:rsidP="00151FE8">
            <w:pPr>
              <w:pStyle w:val="NoSpacing"/>
            </w:pPr>
            <w:r>
              <w:t>4,950</w:t>
            </w:r>
          </w:p>
        </w:tc>
        <w:tc>
          <w:tcPr>
            <w:tcW w:w="108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A90EAED" w14:textId="47AB434B" w:rsidR="00861E2F" w:rsidRDefault="00861E2F" w:rsidP="00151FE8">
            <w:pPr>
              <w:pStyle w:val="NoSpacing"/>
            </w:pPr>
            <w:r w:rsidRPr="004C3281">
              <w:t>$74</w:t>
            </w:r>
            <w:r>
              <w:t xml:space="preserve"> </w:t>
            </w:r>
          </w:p>
          <w:p w14:paraId="32A1733B" w14:textId="30C116B5" w:rsidR="00861E2F" w:rsidRPr="004C3281" w:rsidRDefault="00861E2F" w:rsidP="00151FE8">
            <w:pPr>
              <w:pStyle w:val="NoSpacing"/>
            </w:pPr>
          </w:p>
        </w:tc>
        <w:tc>
          <w:tcPr>
            <w:tcW w:w="3014" w:type="dxa"/>
            <w:vMerge w:val="restart"/>
            <w:tcBorders>
              <w:top w:val="single" w:sz="4" w:space="0" w:color="auto"/>
              <w:left w:val="single" w:sz="4" w:space="0" w:color="auto"/>
              <w:right w:val="single" w:sz="4" w:space="0" w:color="auto"/>
            </w:tcBorders>
            <w:shd w:val="clear" w:color="auto" w:fill="FBE4D5" w:themeFill="accent2" w:themeFillTint="33"/>
            <w:vAlign w:val="center"/>
            <w:hideMark/>
          </w:tcPr>
          <w:p w14:paraId="2D273644" w14:textId="103BE9F9" w:rsidR="00861E2F" w:rsidRDefault="00861E2F" w:rsidP="00151FE8">
            <w:pPr>
              <w:pStyle w:val="NoSpacing"/>
              <w:rPr>
                <w:b/>
                <w:bCs/>
              </w:rPr>
            </w:pPr>
            <w:r w:rsidRPr="00DC6894">
              <w:rPr>
                <w:b/>
                <w:bCs/>
              </w:rPr>
              <w:t>Professional</w:t>
            </w:r>
            <w:r>
              <w:rPr>
                <w:b/>
                <w:bCs/>
              </w:rPr>
              <w:t xml:space="preserve"> – Option 1</w:t>
            </w:r>
          </w:p>
          <w:p w14:paraId="5B436CAE" w14:textId="5AB6AD67" w:rsidR="00861E2F" w:rsidRDefault="00861E2F" w:rsidP="00151FE8">
            <w:pPr>
              <w:pStyle w:val="NoSpacing"/>
            </w:pPr>
            <w:r w:rsidRPr="00DC6894">
              <w:t>(Includes librar</w:t>
            </w:r>
            <w:r>
              <w:t>y workers</w:t>
            </w:r>
            <w:r w:rsidRPr="00DC6894">
              <w:t xml:space="preserve"> as well as others employed in library and information services or related activities in positions</w:t>
            </w:r>
            <w:r>
              <w:t>)</w:t>
            </w:r>
          </w:p>
          <w:p w14:paraId="44BE8A5B" w14:textId="77777777" w:rsidR="00861E2F" w:rsidRDefault="00861E2F" w:rsidP="00151FE8">
            <w:pPr>
              <w:pStyle w:val="NoSpacing"/>
            </w:pPr>
          </w:p>
          <w:p w14:paraId="76CE6444" w14:textId="61710ADF" w:rsidR="00861E2F" w:rsidRPr="00DC6894" w:rsidRDefault="00861E2F" w:rsidP="00151FE8">
            <w:pPr>
              <w:pStyle w:val="NoSpacing"/>
            </w:pPr>
          </w:p>
        </w:tc>
        <w:tc>
          <w:tcPr>
            <w:tcW w:w="1171" w:type="dxa"/>
            <w:vMerge w:val="restart"/>
            <w:tcBorders>
              <w:top w:val="single" w:sz="4" w:space="0" w:color="auto"/>
              <w:left w:val="single" w:sz="4" w:space="0" w:color="auto"/>
              <w:right w:val="single" w:sz="4" w:space="0" w:color="auto"/>
            </w:tcBorders>
            <w:shd w:val="clear" w:color="auto" w:fill="FBE4D5" w:themeFill="accent2" w:themeFillTint="33"/>
            <w:vAlign w:val="center"/>
          </w:tcPr>
          <w:p w14:paraId="73425A93" w14:textId="1A3A1AFB" w:rsidR="00861E2F" w:rsidRDefault="00861E2F" w:rsidP="00151FE8">
            <w:pPr>
              <w:pStyle w:val="NoSpacing"/>
              <w:rPr>
                <w:b/>
                <w:bCs/>
              </w:rPr>
            </w:pPr>
            <w:r>
              <w:rPr>
                <w:b/>
                <w:bCs/>
              </w:rPr>
              <w:t>TBD</w:t>
            </w:r>
          </w:p>
        </w:tc>
        <w:tc>
          <w:tcPr>
            <w:tcW w:w="2858" w:type="dxa"/>
            <w:vMerge w:val="restart"/>
            <w:tcBorders>
              <w:top w:val="single" w:sz="4" w:space="0" w:color="auto"/>
              <w:left w:val="single" w:sz="4" w:space="0" w:color="auto"/>
              <w:right w:val="single" w:sz="4" w:space="0" w:color="auto"/>
            </w:tcBorders>
            <w:shd w:val="clear" w:color="auto" w:fill="FBE4D5" w:themeFill="accent2" w:themeFillTint="33"/>
          </w:tcPr>
          <w:p w14:paraId="01B87494" w14:textId="40DCD774" w:rsidR="00861E2F" w:rsidRDefault="00861E2F" w:rsidP="00151FE8">
            <w:pPr>
              <w:pStyle w:val="NoSpacing"/>
              <w:rPr>
                <w:b/>
                <w:bCs/>
              </w:rPr>
            </w:pPr>
          </w:p>
          <w:p w14:paraId="4B1BA059" w14:textId="294EB2E3" w:rsidR="00861E2F" w:rsidRDefault="00861E2F" w:rsidP="00151FE8">
            <w:pPr>
              <w:pStyle w:val="NoSpacing"/>
            </w:pPr>
            <w:r>
              <w:t xml:space="preserve">Positions that (a) </w:t>
            </w:r>
            <w:r w:rsidRPr="00DC6894">
              <w:t xml:space="preserve">require a </w:t>
            </w:r>
            <w:proofErr w:type="spellStart"/>
            <w:proofErr w:type="gramStart"/>
            <w:r w:rsidRPr="00DC6894">
              <w:t>Masters</w:t>
            </w:r>
            <w:proofErr w:type="spellEnd"/>
            <w:proofErr w:type="gramEnd"/>
            <w:r w:rsidRPr="00DC6894">
              <w:t xml:space="preserve"> degree; or (b) require a state-level certification; or (c) are managerial.</w:t>
            </w:r>
          </w:p>
          <w:p w14:paraId="168442C5" w14:textId="28EEE0D7" w:rsidR="00861E2F" w:rsidRDefault="00861E2F" w:rsidP="00151FE8">
            <w:pPr>
              <w:pStyle w:val="NoSpacing"/>
            </w:pPr>
          </w:p>
          <w:p w14:paraId="232839D8" w14:textId="1BD8860F" w:rsidR="00861E2F" w:rsidRDefault="00861E2F" w:rsidP="00151FE8">
            <w:pPr>
              <w:pStyle w:val="NoSpacing"/>
              <w:rPr>
                <w:i/>
                <w:iCs/>
              </w:rPr>
            </w:pPr>
            <w:r>
              <w:rPr>
                <w:i/>
                <w:iCs/>
              </w:rPr>
              <w:t>Higher rate of dues than option 2</w:t>
            </w:r>
          </w:p>
          <w:p w14:paraId="2386391B" w14:textId="35E1668F" w:rsidR="00861E2F" w:rsidRPr="00464C1C" w:rsidRDefault="00861E2F" w:rsidP="00151FE8">
            <w:pPr>
              <w:pStyle w:val="NoSpacing"/>
              <w:rPr>
                <w:i/>
                <w:iCs/>
              </w:rPr>
            </w:pPr>
          </w:p>
        </w:tc>
      </w:tr>
      <w:tr w:rsidR="00861E2F" w:rsidRPr="004C3281" w14:paraId="29795237" w14:textId="77777777" w:rsidTr="00861E2F">
        <w:trPr>
          <w:trHeight w:val="232"/>
          <w:jc w:val="center"/>
        </w:trPr>
        <w:tc>
          <w:tcPr>
            <w:tcW w:w="152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F33D1C4" w14:textId="0DDED411" w:rsidR="00861E2F" w:rsidRDefault="00861E2F" w:rsidP="00151FE8">
            <w:pPr>
              <w:pStyle w:val="NoSpacing"/>
            </w:pPr>
            <w:r w:rsidRPr="004C3281">
              <w:t>2nd year</w:t>
            </w:r>
          </w:p>
          <w:p w14:paraId="387A3E7B" w14:textId="77777777" w:rsidR="00861E2F" w:rsidRDefault="00861E2F" w:rsidP="00151FE8">
            <w:pPr>
              <w:pStyle w:val="NoSpacing"/>
            </w:pPr>
          </w:p>
          <w:p w14:paraId="718E7436" w14:textId="4C9D7239" w:rsidR="00861E2F" w:rsidRPr="004C3281" w:rsidRDefault="00861E2F" w:rsidP="00151FE8">
            <w:pPr>
              <w:pStyle w:val="NoSpacing"/>
            </w:pPr>
          </w:p>
        </w:tc>
        <w:tc>
          <w:tcPr>
            <w:tcW w:w="113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2E4C5C6" w14:textId="64646995" w:rsidR="00861E2F" w:rsidRDefault="00D616CA" w:rsidP="00151FE8">
            <w:pPr>
              <w:pStyle w:val="NoSpacing"/>
            </w:pPr>
            <w:r>
              <w:t>2,911</w:t>
            </w:r>
          </w:p>
        </w:tc>
        <w:tc>
          <w:tcPr>
            <w:tcW w:w="108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8A11D33" w14:textId="399C0E7E" w:rsidR="00861E2F" w:rsidRDefault="00861E2F" w:rsidP="00151FE8">
            <w:pPr>
              <w:pStyle w:val="NoSpacing"/>
            </w:pPr>
            <w:r>
              <w:t>$</w:t>
            </w:r>
            <w:r w:rsidRPr="004C3281">
              <w:t>112</w:t>
            </w:r>
          </w:p>
          <w:p w14:paraId="010D3E12" w14:textId="1231B95F" w:rsidR="00861E2F" w:rsidRPr="004C3281" w:rsidRDefault="00861E2F" w:rsidP="00151FE8">
            <w:pPr>
              <w:pStyle w:val="NoSpacing"/>
            </w:pPr>
          </w:p>
        </w:tc>
        <w:tc>
          <w:tcPr>
            <w:tcW w:w="3014" w:type="dxa"/>
            <w:vMerge/>
            <w:tcBorders>
              <w:left w:val="single" w:sz="4" w:space="0" w:color="auto"/>
              <w:right w:val="single" w:sz="4" w:space="0" w:color="auto"/>
            </w:tcBorders>
            <w:shd w:val="clear" w:color="auto" w:fill="FBE4D5" w:themeFill="accent2" w:themeFillTint="33"/>
            <w:vAlign w:val="center"/>
            <w:hideMark/>
          </w:tcPr>
          <w:p w14:paraId="7412F527" w14:textId="77777777" w:rsidR="00861E2F" w:rsidRPr="004C3281" w:rsidRDefault="00861E2F" w:rsidP="00151FE8">
            <w:pPr>
              <w:pStyle w:val="NoSpacing"/>
            </w:pPr>
          </w:p>
        </w:tc>
        <w:tc>
          <w:tcPr>
            <w:tcW w:w="1171" w:type="dxa"/>
            <w:vMerge/>
            <w:tcBorders>
              <w:left w:val="single" w:sz="4" w:space="0" w:color="auto"/>
              <w:right w:val="single" w:sz="4" w:space="0" w:color="auto"/>
            </w:tcBorders>
            <w:shd w:val="clear" w:color="auto" w:fill="FBE4D5" w:themeFill="accent2" w:themeFillTint="33"/>
            <w:vAlign w:val="center"/>
          </w:tcPr>
          <w:p w14:paraId="489B01D9" w14:textId="29E41DC5" w:rsidR="00861E2F" w:rsidRPr="004C3281" w:rsidRDefault="00861E2F" w:rsidP="00151FE8">
            <w:pPr>
              <w:pStyle w:val="NoSpacing"/>
            </w:pPr>
          </w:p>
        </w:tc>
        <w:tc>
          <w:tcPr>
            <w:tcW w:w="2858" w:type="dxa"/>
            <w:vMerge/>
            <w:tcBorders>
              <w:left w:val="single" w:sz="4" w:space="0" w:color="auto"/>
              <w:right w:val="single" w:sz="4" w:space="0" w:color="auto"/>
            </w:tcBorders>
            <w:shd w:val="clear" w:color="auto" w:fill="FBE4D5" w:themeFill="accent2" w:themeFillTint="33"/>
          </w:tcPr>
          <w:p w14:paraId="1653D75A" w14:textId="5399A6A6" w:rsidR="00861E2F" w:rsidRPr="004C3281" w:rsidRDefault="00861E2F" w:rsidP="00151FE8">
            <w:pPr>
              <w:pStyle w:val="NoSpacing"/>
            </w:pPr>
          </w:p>
        </w:tc>
      </w:tr>
      <w:tr w:rsidR="00861E2F" w:rsidRPr="004C3281" w14:paraId="2F4F6DF2" w14:textId="77777777" w:rsidTr="00861E2F">
        <w:trPr>
          <w:trHeight w:val="232"/>
          <w:jc w:val="center"/>
        </w:trPr>
        <w:tc>
          <w:tcPr>
            <w:tcW w:w="152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E53DC80" w14:textId="77777777" w:rsidR="00861E2F" w:rsidRPr="004C3281" w:rsidRDefault="00861E2F" w:rsidP="00151FE8">
            <w:pPr>
              <w:pStyle w:val="NoSpacing"/>
            </w:pPr>
            <w:r w:rsidRPr="004C3281">
              <w:t xml:space="preserve">3rd year+ </w:t>
            </w:r>
          </w:p>
        </w:tc>
        <w:tc>
          <w:tcPr>
            <w:tcW w:w="113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C83F46F" w14:textId="77777777" w:rsidR="00861E2F" w:rsidRDefault="00861E2F" w:rsidP="00151FE8">
            <w:pPr>
              <w:pStyle w:val="NoSpacing"/>
            </w:pPr>
          </w:p>
          <w:p w14:paraId="135995B1" w14:textId="77777777" w:rsidR="00D616CA" w:rsidRDefault="00D616CA" w:rsidP="00151FE8">
            <w:pPr>
              <w:pStyle w:val="NoSpacing"/>
            </w:pPr>
          </w:p>
          <w:p w14:paraId="1FEBAF6C" w14:textId="6139CE67" w:rsidR="00D616CA" w:rsidRDefault="00D616CA" w:rsidP="00151FE8">
            <w:pPr>
              <w:pStyle w:val="NoSpacing"/>
            </w:pPr>
            <w:r>
              <w:t>21,253</w:t>
            </w:r>
          </w:p>
        </w:tc>
        <w:tc>
          <w:tcPr>
            <w:tcW w:w="108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23EF024" w14:textId="0D841A25" w:rsidR="00861E2F" w:rsidRPr="004C3281" w:rsidRDefault="00861E2F" w:rsidP="00151FE8">
            <w:pPr>
              <w:pStyle w:val="NoSpacing"/>
            </w:pPr>
            <w:r>
              <w:t>$</w:t>
            </w:r>
            <w:r w:rsidRPr="004C3281">
              <w:t>148</w:t>
            </w:r>
          </w:p>
        </w:tc>
        <w:tc>
          <w:tcPr>
            <w:tcW w:w="3014" w:type="dxa"/>
            <w:vMerge/>
            <w:tcBorders>
              <w:left w:val="single" w:sz="4" w:space="0" w:color="auto"/>
              <w:right w:val="single" w:sz="4" w:space="0" w:color="auto"/>
            </w:tcBorders>
            <w:shd w:val="clear" w:color="auto" w:fill="FBE4D5" w:themeFill="accent2" w:themeFillTint="33"/>
            <w:vAlign w:val="center"/>
            <w:hideMark/>
          </w:tcPr>
          <w:p w14:paraId="238F8686" w14:textId="77777777" w:rsidR="00861E2F" w:rsidRPr="004C3281" w:rsidRDefault="00861E2F" w:rsidP="00151FE8">
            <w:pPr>
              <w:pStyle w:val="NoSpacing"/>
            </w:pPr>
          </w:p>
        </w:tc>
        <w:tc>
          <w:tcPr>
            <w:tcW w:w="1171" w:type="dxa"/>
            <w:vMerge/>
            <w:tcBorders>
              <w:left w:val="single" w:sz="4" w:space="0" w:color="auto"/>
              <w:right w:val="single" w:sz="4" w:space="0" w:color="auto"/>
            </w:tcBorders>
            <w:shd w:val="clear" w:color="auto" w:fill="FBE4D5" w:themeFill="accent2" w:themeFillTint="33"/>
            <w:vAlign w:val="center"/>
          </w:tcPr>
          <w:p w14:paraId="6A11841B" w14:textId="53B44F29" w:rsidR="00861E2F" w:rsidRPr="004C3281" w:rsidRDefault="00861E2F" w:rsidP="00151FE8">
            <w:pPr>
              <w:pStyle w:val="NoSpacing"/>
            </w:pPr>
          </w:p>
        </w:tc>
        <w:tc>
          <w:tcPr>
            <w:tcW w:w="2858" w:type="dxa"/>
            <w:vMerge/>
            <w:tcBorders>
              <w:left w:val="single" w:sz="4" w:space="0" w:color="auto"/>
              <w:right w:val="single" w:sz="4" w:space="0" w:color="auto"/>
            </w:tcBorders>
            <w:shd w:val="clear" w:color="auto" w:fill="FBE4D5" w:themeFill="accent2" w:themeFillTint="33"/>
          </w:tcPr>
          <w:p w14:paraId="5428764E" w14:textId="7DA2CFF9" w:rsidR="00861E2F" w:rsidRPr="004C3281" w:rsidRDefault="00861E2F" w:rsidP="00151FE8">
            <w:pPr>
              <w:pStyle w:val="NoSpacing"/>
            </w:pPr>
          </w:p>
        </w:tc>
      </w:tr>
      <w:tr w:rsidR="00861E2F" w:rsidRPr="004C3281" w14:paraId="461DAD5F" w14:textId="77777777" w:rsidTr="00861E2F">
        <w:trPr>
          <w:trHeight w:val="232"/>
          <w:jc w:val="center"/>
        </w:trPr>
        <w:tc>
          <w:tcPr>
            <w:tcW w:w="152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06A077C" w14:textId="77777777" w:rsidR="00861E2F" w:rsidRDefault="00861E2F" w:rsidP="00151FE8">
            <w:pPr>
              <w:pStyle w:val="NoSpacing"/>
            </w:pPr>
            <w:r w:rsidRPr="002D4C4A">
              <w:t xml:space="preserve">Earning &lt;$30,000 </w:t>
            </w:r>
          </w:p>
          <w:p w14:paraId="3A2D86ED" w14:textId="6AE64ECD" w:rsidR="00861E2F" w:rsidRPr="002D4C4A" w:rsidRDefault="00861E2F" w:rsidP="00151FE8">
            <w:pPr>
              <w:pStyle w:val="NoSpacing"/>
            </w:pPr>
          </w:p>
        </w:tc>
        <w:tc>
          <w:tcPr>
            <w:tcW w:w="113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B8AF93E" w14:textId="77777777" w:rsidR="00D616CA" w:rsidRDefault="00D616CA" w:rsidP="00151FE8">
            <w:pPr>
              <w:pStyle w:val="NoSpacing"/>
            </w:pPr>
          </w:p>
          <w:p w14:paraId="6054AE92" w14:textId="7D67A0A6" w:rsidR="00861E2F" w:rsidRPr="002D4C4A" w:rsidRDefault="00D616CA" w:rsidP="00151FE8">
            <w:pPr>
              <w:pStyle w:val="NoSpacing"/>
            </w:pPr>
            <w:r>
              <w:t>2,929</w:t>
            </w:r>
          </w:p>
        </w:tc>
        <w:tc>
          <w:tcPr>
            <w:tcW w:w="10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F9E0856" w14:textId="2FB57BA1" w:rsidR="00861E2F" w:rsidRPr="002D4C4A" w:rsidRDefault="00861E2F" w:rsidP="00151FE8">
            <w:pPr>
              <w:pStyle w:val="NoSpacing"/>
            </w:pPr>
            <w:r w:rsidRPr="002D4C4A">
              <w:t>$53</w:t>
            </w:r>
          </w:p>
        </w:tc>
        <w:tc>
          <w:tcPr>
            <w:tcW w:w="3014" w:type="dxa"/>
            <w:vMerge w:val="restart"/>
            <w:tcBorders>
              <w:top w:val="single" w:sz="4" w:space="0" w:color="auto"/>
              <w:left w:val="single" w:sz="4" w:space="0" w:color="auto"/>
              <w:right w:val="single" w:sz="4" w:space="0" w:color="auto"/>
            </w:tcBorders>
            <w:shd w:val="clear" w:color="auto" w:fill="FFF2CC" w:themeFill="accent4" w:themeFillTint="33"/>
            <w:vAlign w:val="center"/>
          </w:tcPr>
          <w:p w14:paraId="0FB21D08" w14:textId="672B726D" w:rsidR="00861E2F" w:rsidRDefault="00861E2F" w:rsidP="00151FE8">
            <w:pPr>
              <w:pStyle w:val="NoSpacing"/>
              <w:rPr>
                <w:b/>
                <w:bCs/>
              </w:rPr>
            </w:pPr>
            <w:r w:rsidRPr="00DC6894">
              <w:rPr>
                <w:b/>
                <w:bCs/>
              </w:rPr>
              <w:t>Professional</w:t>
            </w:r>
            <w:r>
              <w:rPr>
                <w:b/>
                <w:bCs/>
              </w:rPr>
              <w:t xml:space="preserve"> – Option 2</w:t>
            </w:r>
          </w:p>
          <w:p w14:paraId="5AC3B72C" w14:textId="0A879D81" w:rsidR="00861E2F" w:rsidRDefault="00861E2F" w:rsidP="00151FE8">
            <w:pPr>
              <w:pStyle w:val="NoSpacing"/>
              <w:rPr>
                <w:b/>
                <w:bCs/>
              </w:rPr>
            </w:pPr>
            <w:r w:rsidRPr="00DC6894">
              <w:t>(Includes librar</w:t>
            </w:r>
            <w:r>
              <w:t>y workers</w:t>
            </w:r>
            <w:r w:rsidRPr="00DC6894">
              <w:t xml:space="preserve"> as well as others employed in library and information services or related activities in positions</w:t>
            </w:r>
            <w:r>
              <w:t>)</w:t>
            </w:r>
          </w:p>
          <w:p w14:paraId="6CB2CE11" w14:textId="7EE36184" w:rsidR="00861E2F" w:rsidRPr="00165B69" w:rsidRDefault="00861E2F" w:rsidP="00151FE8">
            <w:pPr>
              <w:pStyle w:val="NoSpacing"/>
            </w:pPr>
          </w:p>
        </w:tc>
        <w:tc>
          <w:tcPr>
            <w:tcW w:w="1171" w:type="dxa"/>
            <w:vMerge w:val="restart"/>
            <w:tcBorders>
              <w:top w:val="single" w:sz="4" w:space="0" w:color="auto"/>
              <w:left w:val="single" w:sz="4" w:space="0" w:color="auto"/>
              <w:right w:val="single" w:sz="4" w:space="0" w:color="auto"/>
            </w:tcBorders>
            <w:shd w:val="clear" w:color="auto" w:fill="FFF2CC" w:themeFill="accent4" w:themeFillTint="33"/>
            <w:vAlign w:val="center"/>
          </w:tcPr>
          <w:p w14:paraId="29890CC8" w14:textId="26E8BE57" w:rsidR="00861E2F" w:rsidRDefault="00861E2F" w:rsidP="00151FE8">
            <w:pPr>
              <w:pStyle w:val="NoSpacing"/>
              <w:rPr>
                <w:b/>
                <w:bCs/>
              </w:rPr>
            </w:pPr>
            <w:r>
              <w:rPr>
                <w:b/>
                <w:bCs/>
              </w:rPr>
              <w:t>TBD</w:t>
            </w:r>
          </w:p>
        </w:tc>
        <w:tc>
          <w:tcPr>
            <w:tcW w:w="2858" w:type="dxa"/>
            <w:vMerge w:val="restart"/>
            <w:tcBorders>
              <w:top w:val="single" w:sz="4" w:space="0" w:color="auto"/>
              <w:left w:val="single" w:sz="4" w:space="0" w:color="auto"/>
              <w:right w:val="single" w:sz="4" w:space="0" w:color="auto"/>
            </w:tcBorders>
            <w:shd w:val="clear" w:color="auto" w:fill="FFF2CC" w:themeFill="accent4" w:themeFillTint="33"/>
          </w:tcPr>
          <w:p w14:paraId="539C4799" w14:textId="3D05FB5E" w:rsidR="00861E2F" w:rsidRDefault="00861E2F" w:rsidP="00151FE8">
            <w:pPr>
              <w:pStyle w:val="NoSpacing"/>
              <w:rPr>
                <w:b/>
                <w:bCs/>
              </w:rPr>
            </w:pPr>
          </w:p>
          <w:p w14:paraId="44E7B4DD" w14:textId="77777777" w:rsidR="00861E2F" w:rsidRDefault="00861E2F" w:rsidP="00151FE8">
            <w:pPr>
              <w:pStyle w:val="NoSpacing"/>
              <w:rPr>
                <w:b/>
                <w:bCs/>
              </w:rPr>
            </w:pPr>
          </w:p>
          <w:p w14:paraId="1FDBF70B" w14:textId="08D19CD0" w:rsidR="00861E2F" w:rsidRDefault="00861E2F" w:rsidP="00151FE8">
            <w:pPr>
              <w:pStyle w:val="NoSpacing"/>
            </w:pPr>
            <w:r>
              <w:t>Positions other than those listed in Level 1 and including those who are (a) earning &lt; $30K annually; or (b) working outside the U.S.; or (c) retired.</w:t>
            </w:r>
          </w:p>
          <w:p w14:paraId="229841B6" w14:textId="2F371B16" w:rsidR="00861E2F" w:rsidRPr="00464C1C" w:rsidRDefault="00861E2F" w:rsidP="00151FE8">
            <w:pPr>
              <w:pStyle w:val="NoSpacing"/>
              <w:rPr>
                <w:i/>
                <w:iCs/>
              </w:rPr>
            </w:pPr>
          </w:p>
        </w:tc>
      </w:tr>
      <w:tr w:rsidR="00861E2F" w:rsidRPr="004C3281" w14:paraId="5C5DF440" w14:textId="77777777" w:rsidTr="00861E2F">
        <w:trPr>
          <w:trHeight w:val="232"/>
          <w:jc w:val="center"/>
        </w:trPr>
        <w:tc>
          <w:tcPr>
            <w:tcW w:w="152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B90EF92" w14:textId="5A79402A" w:rsidR="00861E2F" w:rsidRPr="002D4C4A" w:rsidRDefault="00861E2F" w:rsidP="00151FE8">
            <w:pPr>
              <w:pStyle w:val="NoSpacing"/>
            </w:pPr>
            <w:r w:rsidRPr="002D4C4A">
              <w:t>Support Staff</w:t>
            </w:r>
          </w:p>
        </w:tc>
        <w:tc>
          <w:tcPr>
            <w:tcW w:w="113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A3D782D" w14:textId="76D60DF3" w:rsidR="00861E2F" w:rsidRDefault="00D616CA" w:rsidP="00151FE8">
            <w:pPr>
              <w:pStyle w:val="NoSpacing"/>
            </w:pPr>
            <w:r>
              <w:t>1,529</w:t>
            </w:r>
          </w:p>
        </w:tc>
        <w:tc>
          <w:tcPr>
            <w:tcW w:w="10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690ADBF" w14:textId="2BBA0423" w:rsidR="00861E2F" w:rsidRDefault="00861E2F" w:rsidP="00151FE8">
            <w:pPr>
              <w:pStyle w:val="NoSpacing"/>
            </w:pPr>
          </w:p>
          <w:p w14:paraId="0243C0FC" w14:textId="37BF0788" w:rsidR="00861E2F" w:rsidRPr="002D4C4A" w:rsidRDefault="00861E2F" w:rsidP="00151FE8">
            <w:pPr>
              <w:pStyle w:val="NoSpacing"/>
            </w:pPr>
            <w:r w:rsidRPr="002D4C4A">
              <w:t>$53</w:t>
            </w:r>
          </w:p>
        </w:tc>
        <w:tc>
          <w:tcPr>
            <w:tcW w:w="3014" w:type="dxa"/>
            <w:vMerge/>
            <w:tcBorders>
              <w:left w:val="single" w:sz="4" w:space="0" w:color="auto"/>
              <w:right w:val="single" w:sz="4" w:space="0" w:color="auto"/>
            </w:tcBorders>
            <w:shd w:val="clear" w:color="auto" w:fill="FFF2CC" w:themeFill="accent4" w:themeFillTint="33"/>
            <w:vAlign w:val="center"/>
          </w:tcPr>
          <w:p w14:paraId="7C4F2A48" w14:textId="77777777" w:rsidR="00861E2F" w:rsidRPr="00D93EBC" w:rsidRDefault="00861E2F" w:rsidP="00151FE8">
            <w:pPr>
              <w:pStyle w:val="NoSpacing"/>
              <w:rPr>
                <w:color w:val="FF0000"/>
              </w:rPr>
            </w:pPr>
          </w:p>
        </w:tc>
        <w:tc>
          <w:tcPr>
            <w:tcW w:w="1171" w:type="dxa"/>
            <w:vMerge/>
            <w:tcBorders>
              <w:left w:val="single" w:sz="4" w:space="0" w:color="auto"/>
              <w:right w:val="single" w:sz="4" w:space="0" w:color="auto"/>
            </w:tcBorders>
            <w:shd w:val="clear" w:color="auto" w:fill="FFF2CC" w:themeFill="accent4" w:themeFillTint="33"/>
            <w:vAlign w:val="center"/>
          </w:tcPr>
          <w:p w14:paraId="114B2717" w14:textId="77777777" w:rsidR="00861E2F" w:rsidRDefault="00861E2F" w:rsidP="00151FE8">
            <w:pPr>
              <w:pStyle w:val="NoSpacing"/>
            </w:pPr>
          </w:p>
        </w:tc>
        <w:tc>
          <w:tcPr>
            <w:tcW w:w="2858" w:type="dxa"/>
            <w:vMerge/>
            <w:tcBorders>
              <w:left w:val="single" w:sz="4" w:space="0" w:color="auto"/>
              <w:right w:val="single" w:sz="4" w:space="0" w:color="auto"/>
            </w:tcBorders>
            <w:shd w:val="clear" w:color="auto" w:fill="FFF2CC" w:themeFill="accent4" w:themeFillTint="33"/>
          </w:tcPr>
          <w:p w14:paraId="041608D8" w14:textId="09BC2103" w:rsidR="00861E2F" w:rsidRDefault="00861E2F" w:rsidP="00151FE8">
            <w:pPr>
              <w:pStyle w:val="NoSpacing"/>
            </w:pPr>
          </w:p>
        </w:tc>
      </w:tr>
      <w:tr w:rsidR="00861E2F" w:rsidRPr="004C3281" w14:paraId="75467D41" w14:textId="77777777" w:rsidTr="00861E2F">
        <w:trPr>
          <w:trHeight w:val="232"/>
          <w:jc w:val="center"/>
        </w:trPr>
        <w:tc>
          <w:tcPr>
            <w:tcW w:w="152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BC9D397" w14:textId="164F5DBF" w:rsidR="00861E2F" w:rsidRPr="002D4C4A" w:rsidRDefault="00861E2F" w:rsidP="00151FE8">
            <w:pPr>
              <w:pStyle w:val="NoSpacing"/>
            </w:pPr>
            <w:r w:rsidRPr="002D4C4A">
              <w:t>Retired</w:t>
            </w:r>
          </w:p>
        </w:tc>
        <w:tc>
          <w:tcPr>
            <w:tcW w:w="113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A0E3C1B" w14:textId="52A146EE" w:rsidR="00861E2F" w:rsidRDefault="00D616CA" w:rsidP="00151FE8">
            <w:pPr>
              <w:pStyle w:val="NoSpacing"/>
            </w:pPr>
            <w:r>
              <w:t>2,144</w:t>
            </w:r>
          </w:p>
        </w:tc>
        <w:tc>
          <w:tcPr>
            <w:tcW w:w="10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7EC7517" w14:textId="4338186F" w:rsidR="00861E2F" w:rsidRDefault="00861E2F" w:rsidP="00151FE8">
            <w:pPr>
              <w:pStyle w:val="NoSpacing"/>
            </w:pPr>
          </w:p>
          <w:p w14:paraId="78C71F38" w14:textId="67663AD9" w:rsidR="00861E2F" w:rsidRPr="002D4C4A" w:rsidRDefault="00861E2F" w:rsidP="00151FE8">
            <w:pPr>
              <w:pStyle w:val="NoSpacing"/>
            </w:pPr>
            <w:r w:rsidRPr="002D4C4A">
              <w:t>$53</w:t>
            </w:r>
          </w:p>
        </w:tc>
        <w:tc>
          <w:tcPr>
            <w:tcW w:w="3014" w:type="dxa"/>
            <w:vMerge/>
            <w:tcBorders>
              <w:left w:val="single" w:sz="4" w:space="0" w:color="auto"/>
              <w:right w:val="single" w:sz="4" w:space="0" w:color="auto"/>
            </w:tcBorders>
            <w:shd w:val="clear" w:color="auto" w:fill="FFF2CC" w:themeFill="accent4" w:themeFillTint="33"/>
            <w:vAlign w:val="center"/>
          </w:tcPr>
          <w:p w14:paraId="0A059F9B" w14:textId="77777777" w:rsidR="00861E2F" w:rsidRPr="00D93EBC" w:rsidRDefault="00861E2F" w:rsidP="00151FE8">
            <w:pPr>
              <w:pStyle w:val="NoSpacing"/>
              <w:rPr>
                <w:color w:val="FF0000"/>
              </w:rPr>
            </w:pPr>
          </w:p>
        </w:tc>
        <w:tc>
          <w:tcPr>
            <w:tcW w:w="1171" w:type="dxa"/>
            <w:vMerge/>
            <w:tcBorders>
              <w:left w:val="single" w:sz="4" w:space="0" w:color="auto"/>
              <w:right w:val="single" w:sz="4" w:space="0" w:color="auto"/>
            </w:tcBorders>
            <w:shd w:val="clear" w:color="auto" w:fill="FFF2CC" w:themeFill="accent4" w:themeFillTint="33"/>
            <w:vAlign w:val="center"/>
          </w:tcPr>
          <w:p w14:paraId="0031F796" w14:textId="77777777" w:rsidR="00861E2F" w:rsidRDefault="00861E2F" w:rsidP="00151FE8">
            <w:pPr>
              <w:pStyle w:val="NoSpacing"/>
            </w:pPr>
          </w:p>
        </w:tc>
        <w:tc>
          <w:tcPr>
            <w:tcW w:w="2858" w:type="dxa"/>
            <w:vMerge/>
            <w:tcBorders>
              <w:left w:val="single" w:sz="4" w:space="0" w:color="auto"/>
              <w:right w:val="single" w:sz="4" w:space="0" w:color="auto"/>
            </w:tcBorders>
            <w:shd w:val="clear" w:color="auto" w:fill="FFF2CC" w:themeFill="accent4" w:themeFillTint="33"/>
          </w:tcPr>
          <w:p w14:paraId="14C8C551" w14:textId="0B275D46" w:rsidR="00861E2F" w:rsidRDefault="00861E2F" w:rsidP="00151FE8">
            <w:pPr>
              <w:pStyle w:val="NoSpacing"/>
            </w:pPr>
          </w:p>
        </w:tc>
      </w:tr>
      <w:tr w:rsidR="00861E2F" w:rsidRPr="004C3281" w14:paraId="492548B3" w14:textId="77777777" w:rsidTr="00861E2F">
        <w:trPr>
          <w:trHeight w:val="232"/>
          <w:jc w:val="center"/>
        </w:trPr>
        <w:tc>
          <w:tcPr>
            <w:tcW w:w="152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6FE9667" w14:textId="1E21533F" w:rsidR="00861E2F" w:rsidRPr="002D4C4A" w:rsidRDefault="00861E2F" w:rsidP="00151FE8">
            <w:pPr>
              <w:pStyle w:val="NoSpacing"/>
            </w:pPr>
            <w:r w:rsidRPr="002D4C4A">
              <w:t>International</w:t>
            </w:r>
          </w:p>
        </w:tc>
        <w:tc>
          <w:tcPr>
            <w:tcW w:w="113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DFC5C42" w14:textId="3809657D" w:rsidR="00861E2F" w:rsidRDefault="00D616CA" w:rsidP="00151FE8">
            <w:pPr>
              <w:pStyle w:val="NoSpacing"/>
            </w:pPr>
            <w:r>
              <w:t>750</w:t>
            </w:r>
          </w:p>
        </w:tc>
        <w:tc>
          <w:tcPr>
            <w:tcW w:w="108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4366778" w14:textId="6F24B338" w:rsidR="00861E2F" w:rsidRDefault="00861E2F" w:rsidP="00151FE8">
            <w:pPr>
              <w:pStyle w:val="NoSpacing"/>
            </w:pPr>
          </w:p>
          <w:p w14:paraId="6FDCA131" w14:textId="2554E087" w:rsidR="00861E2F" w:rsidRPr="002D4C4A" w:rsidRDefault="00861E2F" w:rsidP="00151FE8">
            <w:pPr>
              <w:pStyle w:val="NoSpacing"/>
            </w:pPr>
            <w:r w:rsidRPr="002D4C4A">
              <w:t>$89</w:t>
            </w:r>
          </w:p>
        </w:tc>
        <w:tc>
          <w:tcPr>
            <w:tcW w:w="3014" w:type="dxa"/>
            <w:vMerge/>
            <w:tcBorders>
              <w:left w:val="single" w:sz="4" w:space="0" w:color="auto"/>
              <w:right w:val="single" w:sz="4" w:space="0" w:color="auto"/>
            </w:tcBorders>
            <w:shd w:val="clear" w:color="auto" w:fill="FFF2CC" w:themeFill="accent4" w:themeFillTint="33"/>
            <w:vAlign w:val="center"/>
          </w:tcPr>
          <w:p w14:paraId="7E20C258" w14:textId="77777777" w:rsidR="00861E2F" w:rsidRPr="00D93EBC" w:rsidRDefault="00861E2F" w:rsidP="00151FE8">
            <w:pPr>
              <w:pStyle w:val="NoSpacing"/>
              <w:rPr>
                <w:color w:val="FF0000"/>
              </w:rPr>
            </w:pPr>
          </w:p>
        </w:tc>
        <w:tc>
          <w:tcPr>
            <w:tcW w:w="1171" w:type="dxa"/>
            <w:vMerge/>
            <w:tcBorders>
              <w:left w:val="single" w:sz="4" w:space="0" w:color="auto"/>
              <w:right w:val="single" w:sz="4" w:space="0" w:color="auto"/>
            </w:tcBorders>
            <w:shd w:val="clear" w:color="auto" w:fill="FFF2CC" w:themeFill="accent4" w:themeFillTint="33"/>
            <w:vAlign w:val="center"/>
          </w:tcPr>
          <w:p w14:paraId="0423396D" w14:textId="77777777" w:rsidR="00861E2F" w:rsidRDefault="00861E2F" w:rsidP="00151FE8">
            <w:pPr>
              <w:pStyle w:val="NoSpacing"/>
            </w:pPr>
          </w:p>
        </w:tc>
        <w:tc>
          <w:tcPr>
            <w:tcW w:w="2858" w:type="dxa"/>
            <w:vMerge/>
            <w:tcBorders>
              <w:left w:val="single" w:sz="4" w:space="0" w:color="auto"/>
              <w:right w:val="single" w:sz="4" w:space="0" w:color="auto"/>
            </w:tcBorders>
            <w:shd w:val="clear" w:color="auto" w:fill="FFF2CC" w:themeFill="accent4" w:themeFillTint="33"/>
          </w:tcPr>
          <w:p w14:paraId="49CC9963" w14:textId="17F3EEF7" w:rsidR="00861E2F" w:rsidRDefault="00861E2F" w:rsidP="00151FE8">
            <w:pPr>
              <w:pStyle w:val="NoSpacing"/>
            </w:pPr>
          </w:p>
        </w:tc>
      </w:tr>
      <w:tr w:rsidR="00861E2F" w:rsidRPr="004C3281" w14:paraId="0D8205E8" w14:textId="77777777" w:rsidTr="00861E2F">
        <w:trPr>
          <w:trHeight w:val="232"/>
          <w:jc w:val="center"/>
        </w:trPr>
        <w:tc>
          <w:tcPr>
            <w:tcW w:w="152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A54ABE4" w14:textId="55BF6C7A" w:rsidR="00861E2F" w:rsidRPr="00FC3522" w:rsidRDefault="00861E2F" w:rsidP="00151FE8">
            <w:pPr>
              <w:pStyle w:val="NoSpacing"/>
              <w:rPr>
                <w:color w:val="FF0000"/>
              </w:rPr>
            </w:pPr>
            <w:r w:rsidRPr="004C3281">
              <w:t xml:space="preserve">Student </w:t>
            </w:r>
          </w:p>
        </w:tc>
        <w:tc>
          <w:tcPr>
            <w:tcW w:w="113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F56FA27" w14:textId="77777777" w:rsidR="00861E2F" w:rsidRDefault="00861E2F" w:rsidP="00151FE8">
            <w:pPr>
              <w:pStyle w:val="NoSpacing"/>
            </w:pPr>
          </w:p>
          <w:p w14:paraId="62FFC5C7" w14:textId="77777777" w:rsidR="00D616CA" w:rsidRDefault="00D616CA" w:rsidP="00151FE8">
            <w:pPr>
              <w:pStyle w:val="NoSpacing"/>
            </w:pPr>
          </w:p>
          <w:p w14:paraId="25C5D80C" w14:textId="6BDEEA3C" w:rsidR="00D616CA" w:rsidRDefault="00D616CA" w:rsidP="00151FE8">
            <w:pPr>
              <w:pStyle w:val="NoSpacing"/>
            </w:pPr>
            <w:r>
              <w:t>8,351</w:t>
            </w:r>
          </w:p>
        </w:tc>
        <w:tc>
          <w:tcPr>
            <w:tcW w:w="108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D5317D4" w14:textId="056C45FE" w:rsidR="00861E2F" w:rsidRPr="00FC3522" w:rsidRDefault="00861E2F" w:rsidP="00151FE8">
            <w:pPr>
              <w:pStyle w:val="NoSpacing"/>
              <w:rPr>
                <w:color w:val="FF0000"/>
              </w:rPr>
            </w:pPr>
            <w:r>
              <w:t>$</w:t>
            </w:r>
            <w:r w:rsidRPr="004C3281">
              <w:t>39</w:t>
            </w:r>
          </w:p>
        </w:tc>
        <w:tc>
          <w:tcPr>
            <w:tcW w:w="3014" w:type="dxa"/>
            <w:tcBorders>
              <w:top w:val="single" w:sz="4" w:space="0" w:color="auto"/>
              <w:left w:val="single" w:sz="4" w:space="0" w:color="auto"/>
              <w:right w:val="single" w:sz="4" w:space="0" w:color="auto"/>
            </w:tcBorders>
            <w:shd w:val="clear" w:color="auto" w:fill="DEEAF6" w:themeFill="accent5" w:themeFillTint="33"/>
            <w:vAlign w:val="center"/>
          </w:tcPr>
          <w:p w14:paraId="511C7E0B" w14:textId="59B5D30D" w:rsidR="00861E2F" w:rsidRDefault="00861E2F" w:rsidP="00151FE8">
            <w:pPr>
              <w:pStyle w:val="NoSpacing"/>
              <w:rPr>
                <w:b/>
                <w:bCs/>
              </w:rPr>
            </w:pPr>
            <w:r w:rsidRPr="00DC6894">
              <w:rPr>
                <w:b/>
                <w:bCs/>
              </w:rPr>
              <w:t>Student</w:t>
            </w:r>
          </w:p>
          <w:p w14:paraId="67C5FD39" w14:textId="77C90015" w:rsidR="00861E2F" w:rsidRPr="002D4C4A" w:rsidRDefault="00861E2F" w:rsidP="00151FE8">
            <w:pPr>
              <w:pStyle w:val="NoSpacing"/>
              <w:rPr>
                <w:color w:val="FF0000"/>
              </w:rPr>
            </w:pPr>
            <w:r>
              <w:t xml:space="preserve">(Includes individuals enrolled in a degree or certificate program in library and information studies.) </w:t>
            </w:r>
          </w:p>
        </w:tc>
        <w:tc>
          <w:tcPr>
            <w:tcW w:w="1171" w:type="dxa"/>
            <w:tcBorders>
              <w:top w:val="single" w:sz="4" w:space="0" w:color="auto"/>
              <w:left w:val="single" w:sz="4" w:space="0" w:color="auto"/>
              <w:right w:val="single" w:sz="4" w:space="0" w:color="auto"/>
            </w:tcBorders>
            <w:shd w:val="clear" w:color="auto" w:fill="DEEAF6" w:themeFill="accent5" w:themeFillTint="33"/>
            <w:vAlign w:val="center"/>
          </w:tcPr>
          <w:p w14:paraId="0A5AC7DF" w14:textId="49DAD810" w:rsidR="00861E2F" w:rsidRDefault="00861E2F" w:rsidP="00151FE8">
            <w:pPr>
              <w:pStyle w:val="NoSpacing"/>
            </w:pPr>
            <w:r>
              <w:rPr>
                <w:b/>
                <w:bCs/>
              </w:rPr>
              <w:t>TBD</w:t>
            </w:r>
          </w:p>
        </w:tc>
        <w:tc>
          <w:tcPr>
            <w:tcW w:w="2858" w:type="dxa"/>
            <w:tcBorders>
              <w:top w:val="single" w:sz="4" w:space="0" w:color="auto"/>
              <w:left w:val="single" w:sz="4" w:space="0" w:color="auto"/>
              <w:right w:val="single" w:sz="4" w:space="0" w:color="auto"/>
            </w:tcBorders>
            <w:shd w:val="clear" w:color="auto" w:fill="DEEAF6" w:themeFill="accent5" w:themeFillTint="33"/>
          </w:tcPr>
          <w:p w14:paraId="65218357" w14:textId="565EB536" w:rsidR="00861E2F" w:rsidRDefault="00861E2F" w:rsidP="00151FE8">
            <w:pPr>
              <w:pStyle w:val="NoSpacing"/>
            </w:pPr>
          </w:p>
          <w:p w14:paraId="31907269" w14:textId="183CA596" w:rsidR="00861E2F" w:rsidRPr="00464C1C" w:rsidRDefault="00861E2F" w:rsidP="00151FE8">
            <w:pPr>
              <w:pStyle w:val="NoSpacing"/>
              <w:rPr>
                <w:i/>
                <w:iCs/>
              </w:rPr>
            </w:pPr>
            <w:r w:rsidRPr="0056107E">
              <w:rPr>
                <w:i/>
                <w:iCs/>
              </w:rPr>
              <w:t>Eligible for five years</w:t>
            </w:r>
            <w:r>
              <w:rPr>
                <w:i/>
                <w:iCs/>
              </w:rPr>
              <w:t>. Graduating students will remain in this category to help transition to the price of the professional membership.</w:t>
            </w:r>
          </w:p>
        </w:tc>
      </w:tr>
      <w:tr w:rsidR="00861E2F" w:rsidRPr="004C3281" w14:paraId="1A177E85" w14:textId="77777777" w:rsidTr="00861E2F">
        <w:trPr>
          <w:trHeight w:val="350"/>
          <w:jc w:val="center"/>
        </w:trPr>
        <w:tc>
          <w:tcPr>
            <w:tcW w:w="15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49FD1E5" w14:textId="544842AE" w:rsidR="00861E2F" w:rsidRDefault="00861E2F" w:rsidP="00151FE8">
            <w:pPr>
              <w:pStyle w:val="NoSpacing"/>
            </w:pPr>
            <w:r w:rsidRPr="002D4C4A">
              <w:t>Associate</w:t>
            </w:r>
          </w:p>
          <w:p w14:paraId="7332F9EE" w14:textId="77777777" w:rsidR="00861E2F" w:rsidRDefault="00861E2F" w:rsidP="00151FE8">
            <w:pPr>
              <w:pStyle w:val="NoSpacing"/>
            </w:pPr>
          </w:p>
          <w:p w14:paraId="5AEA3419" w14:textId="5677FFDE" w:rsidR="00861E2F" w:rsidRPr="002D4C4A" w:rsidRDefault="00861E2F" w:rsidP="00151FE8">
            <w:pPr>
              <w:pStyle w:val="NoSpacing"/>
            </w:pPr>
          </w:p>
        </w:tc>
        <w:tc>
          <w:tcPr>
            <w:tcW w:w="113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B948ACF" w14:textId="55977ABD" w:rsidR="00861E2F" w:rsidRPr="002D4C4A" w:rsidRDefault="00D616CA" w:rsidP="00151FE8">
            <w:pPr>
              <w:pStyle w:val="NoSpacing"/>
            </w:pPr>
            <w:r>
              <w:t>561</w:t>
            </w:r>
          </w:p>
        </w:tc>
        <w:tc>
          <w:tcPr>
            <w:tcW w:w="108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5DD956C" w14:textId="31FE15BC" w:rsidR="00861E2F" w:rsidRPr="002D4C4A" w:rsidRDefault="00861E2F" w:rsidP="00151FE8">
            <w:pPr>
              <w:pStyle w:val="NoSpacing"/>
            </w:pPr>
            <w:r w:rsidRPr="002D4C4A">
              <w:t>$67</w:t>
            </w:r>
          </w:p>
        </w:tc>
        <w:tc>
          <w:tcPr>
            <w:tcW w:w="3014" w:type="dxa"/>
            <w:vMerge w:val="restart"/>
            <w:tcBorders>
              <w:left w:val="single" w:sz="4" w:space="0" w:color="auto"/>
              <w:right w:val="single" w:sz="4" w:space="0" w:color="auto"/>
            </w:tcBorders>
            <w:shd w:val="clear" w:color="auto" w:fill="E2EFD9" w:themeFill="accent6" w:themeFillTint="33"/>
            <w:vAlign w:val="center"/>
            <w:hideMark/>
          </w:tcPr>
          <w:p w14:paraId="7410AA40" w14:textId="77777777" w:rsidR="00861E2F" w:rsidRDefault="00861E2F" w:rsidP="00151FE8">
            <w:pPr>
              <w:pStyle w:val="NoSpacing"/>
              <w:rPr>
                <w:b/>
                <w:bCs/>
              </w:rPr>
            </w:pPr>
            <w:r>
              <w:rPr>
                <w:b/>
                <w:bCs/>
              </w:rPr>
              <w:t>Advocates</w:t>
            </w:r>
          </w:p>
          <w:p w14:paraId="618CF5CE" w14:textId="5458FD22" w:rsidR="00861E2F" w:rsidRDefault="00861E2F" w:rsidP="00151FE8">
            <w:pPr>
              <w:pStyle w:val="NoSpacing"/>
            </w:pPr>
            <w:bookmarkStart w:id="0" w:name="_Hlk51686965"/>
            <w:r>
              <w:t>(Includes those not employed in library and information services or related activities who, through their personal commitment and support, promote library and information services.)</w:t>
            </w:r>
          </w:p>
          <w:bookmarkEnd w:id="0"/>
          <w:p w14:paraId="00BA311F" w14:textId="691B90C0" w:rsidR="00861E2F" w:rsidRPr="002D4C4A" w:rsidRDefault="00861E2F" w:rsidP="00151FE8">
            <w:pPr>
              <w:pStyle w:val="NoSpacing"/>
            </w:pPr>
          </w:p>
        </w:tc>
        <w:tc>
          <w:tcPr>
            <w:tcW w:w="1171" w:type="dxa"/>
            <w:vMerge w:val="restart"/>
            <w:tcBorders>
              <w:left w:val="single" w:sz="4" w:space="0" w:color="auto"/>
              <w:right w:val="single" w:sz="4" w:space="0" w:color="auto"/>
            </w:tcBorders>
            <w:shd w:val="clear" w:color="auto" w:fill="E2EFD9" w:themeFill="accent6" w:themeFillTint="33"/>
            <w:vAlign w:val="center"/>
          </w:tcPr>
          <w:p w14:paraId="722F75F6" w14:textId="6B9FAA16" w:rsidR="00861E2F" w:rsidRDefault="00861E2F" w:rsidP="00151FE8">
            <w:pPr>
              <w:pStyle w:val="NoSpacing"/>
            </w:pPr>
            <w:r>
              <w:rPr>
                <w:b/>
                <w:bCs/>
              </w:rPr>
              <w:t>TBD</w:t>
            </w:r>
          </w:p>
        </w:tc>
        <w:tc>
          <w:tcPr>
            <w:tcW w:w="2858" w:type="dxa"/>
            <w:vMerge w:val="restart"/>
            <w:tcBorders>
              <w:left w:val="single" w:sz="4" w:space="0" w:color="auto"/>
              <w:right w:val="single" w:sz="4" w:space="0" w:color="auto"/>
            </w:tcBorders>
            <w:shd w:val="clear" w:color="auto" w:fill="E2EFD9" w:themeFill="accent6" w:themeFillTint="33"/>
          </w:tcPr>
          <w:p w14:paraId="0C3E8951" w14:textId="57B2673D" w:rsidR="00861E2F" w:rsidRDefault="00861E2F" w:rsidP="00151FE8">
            <w:pPr>
              <w:pStyle w:val="NoSpacing"/>
            </w:pPr>
          </w:p>
          <w:p w14:paraId="22B638E7" w14:textId="77777777" w:rsidR="00861E2F" w:rsidRDefault="00861E2F" w:rsidP="00151FE8">
            <w:pPr>
              <w:pStyle w:val="NoSpacing"/>
            </w:pPr>
          </w:p>
          <w:p w14:paraId="01FB206C" w14:textId="43B1B36F" w:rsidR="00861E2F" w:rsidRPr="004C3281" w:rsidRDefault="00861E2F" w:rsidP="00151FE8">
            <w:pPr>
              <w:pStyle w:val="NoSpacing"/>
            </w:pPr>
          </w:p>
        </w:tc>
      </w:tr>
      <w:tr w:rsidR="00861E2F" w:rsidRPr="004C3281" w14:paraId="055FF198" w14:textId="77777777" w:rsidTr="00861E2F">
        <w:trPr>
          <w:trHeight w:val="232"/>
          <w:jc w:val="center"/>
        </w:trPr>
        <w:tc>
          <w:tcPr>
            <w:tcW w:w="15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F52CE8F" w14:textId="05AB0ECF" w:rsidR="00861E2F" w:rsidRDefault="00861E2F" w:rsidP="00151FE8">
            <w:pPr>
              <w:pStyle w:val="NoSpacing"/>
            </w:pPr>
            <w:r w:rsidRPr="002D4C4A">
              <w:t>Trustee</w:t>
            </w:r>
          </w:p>
          <w:p w14:paraId="0E63CBAE" w14:textId="77777777" w:rsidR="00861E2F" w:rsidRDefault="00861E2F" w:rsidP="00151FE8">
            <w:pPr>
              <w:pStyle w:val="NoSpacing"/>
            </w:pPr>
          </w:p>
          <w:p w14:paraId="125D6489" w14:textId="74C54772" w:rsidR="00861E2F" w:rsidRPr="002D4C4A" w:rsidRDefault="00861E2F" w:rsidP="00151FE8">
            <w:pPr>
              <w:pStyle w:val="NoSpacing"/>
            </w:pPr>
          </w:p>
        </w:tc>
        <w:tc>
          <w:tcPr>
            <w:tcW w:w="113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B1543AF" w14:textId="47A45859" w:rsidR="00861E2F" w:rsidRPr="002D4C4A" w:rsidRDefault="00D616CA" w:rsidP="00151FE8">
            <w:pPr>
              <w:pStyle w:val="NoSpacing"/>
            </w:pPr>
            <w:r>
              <w:t>987</w:t>
            </w:r>
          </w:p>
        </w:tc>
        <w:tc>
          <w:tcPr>
            <w:tcW w:w="108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3E6870B" w14:textId="0C9E2C46" w:rsidR="00861E2F" w:rsidRPr="002D4C4A" w:rsidRDefault="00861E2F" w:rsidP="00151FE8">
            <w:pPr>
              <w:pStyle w:val="NoSpacing"/>
            </w:pPr>
            <w:r w:rsidRPr="002D4C4A">
              <w:t>$67</w:t>
            </w:r>
          </w:p>
        </w:tc>
        <w:tc>
          <w:tcPr>
            <w:tcW w:w="3014" w:type="dxa"/>
            <w:vMerge/>
            <w:tcBorders>
              <w:left w:val="single" w:sz="4" w:space="0" w:color="auto"/>
              <w:right w:val="single" w:sz="4" w:space="0" w:color="auto"/>
            </w:tcBorders>
            <w:shd w:val="clear" w:color="auto" w:fill="E2EFD9" w:themeFill="accent6" w:themeFillTint="33"/>
            <w:vAlign w:val="center"/>
            <w:hideMark/>
          </w:tcPr>
          <w:p w14:paraId="5DD773B8" w14:textId="77777777" w:rsidR="00861E2F" w:rsidRPr="004C3281" w:rsidRDefault="00861E2F" w:rsidP="00151FE8">
            <w:pPr>
              <w:pStyle w:val="NoSpacing"/>
            </w:pPr>
          </w:p>
        </w:tc>
        <w:tc>
          <w:tcPr>
            <w:tcW w:w="1171" w:type="dxa"/>
            <w:vMerge/>
            <w:tcBorders>
              <w:left w:val="single" w:sz="4" w:space="0" w:color="auto"/>
              <w:right w:val="single" w:sz="4" w:space="0" w:color="auto"/>
            </w:tcBorders>
            <w:shd w:val="clear" w:color="auto" w:fill="E2EFD9" w:themeFill="accent6" w:themeFillTint="33"/>
          </w:tcPr>
          <w:p w14:paraId="5A288D08" w14:textId="77777777" w:rsidR="00861E2F" w:rsidRPr="004C3281" w:rsidRDefault="00861E2F" w:rsidP="00151FE8">
            <w:pPr>
              <w:pStyle w:val="NoSpacing"/>
            </w:pPr>
          </w:p>
        </w:tc>
        <w:tc>
          <w:tcPr>
            <w:tcW w:w="2858" w:type="dxa"/>
            <w:vMerge/>
            <w:tcBorders>
              <w:left w:val="single" w:sz="4" w:space="0" w:color="auto"/>
              <w:right w:val="single" w:sz="4" w:space="0" w:color="auto"/>
            </w:tcBorders>
            <w:shd w:val="clear" w:color="auto" w:fill="E2EFD9" w:themeFill="accent6" w:themeFillTint="33"/>
          </w:tcPr>
          <w:p w14:paraId="2D7F3D50" w14:textId="21CD404D" w:rsidR="00861E2F" w:rsidRPr="004C3281" w:rsidRDefault="00861E2F" w:rsidP="00151FE8">
            <w:pPr>
              <w:pStyle w:val="NoSpacing"/>
            </w:pPr>
          </w:p>
        </w:tc>
      </w:tr>
      <w:tr w:rsidR="00861E2F" w:rsidRPr="004C3281" w14:paraId="68DF96BA" w14:textId="77777777" w:rsidTr="00861E2F">
        <w:trPr>
          <w:trHeight w:val="602"/>
          <w:jc w:val="center"/>
        </w:trPr>
        <w:tc>
          <w:tcPr>
            <w:tcW w:w="15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CC40B4A" w14:textId="77777777" w:rsidR="00861E2F" w:rsidRPr="002D4C4A" w:rsidRDefault="00861E2F" w:rsidP="00151FE8">
            <w:pPr>
              <w:pStyle w:val="NoSpacing"/>
            </w:pPr>
            <w:r w:rsidRPr="002D4C4A">
              <w:t>Friend</w:t>
            </w:r>
          </w:p>
        </w:tc>
        <w:tc>
          <w:tcPr>
            <w:tcW w:w="113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FF7768" w14:textId="77777777" w:rsidR="00861E2F" w:rsidRDefault="00861E2F" w:rsidP="00151FE8">
            <w:pPr>
              <w:pStyle w:val="NoSpacing"/>
            </w:pPr>
          </w:p>
          <w:p w14:paraId="4851D5CB" w14:textId="1AE79687" w:rsidR="00D616CA" w:rsidRPr="002D4C4A" w:rsidRDefault="00D616CA" w:rsidP="00151FE8">
            <w:pPr>
              <w:pStyle w:val="NoSpacing"/>
            </w:pPr>
            <w:r>
              <w:t>160</w:t>
            </w:r>
          </w:p>
        </w:tc>
        <w:tc>
          <w:tcPr>
            <w:tcW w:w="108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7F20322" w14:textId="69D26AA3" w:rsidR="00861E2F" w:rsidRPr="002D4C4A" w:rsidRDefault="00861E2F" w:rsidP="00151FE8">
            <w:pPr>
              <w:pStyle w:val="NoSpacing"/>
            </w:pPr>
            <w:r w:rsidRPr="002D4C4A">
              <w:t>$67</w:t>
            </w:r>
          </w:p>
        </w:tc>
        <w:tc>
          <w:tcPr>
            <w:tcW w:w="3014" w:type="dxa"/>
            <w:vMerge/>
            <w:tcBorders>
              <w:left w:val="single" w:sz="4" w:space="0" w:color="auto"/>
              <w:right w:val="single" w:sz="4" w:space="0" w:color="auto"/>
            </w:tcBorders>
            <w:shd w:val="clear" w:color="auto" w:fill="E2EFD9" w:themeFill="accent6" w:themeFillTint="33"/>
            <w:vAlign w:val="center"/>
            <w:hideMark/>
          </w:tcPr>
          <w:p w14:paraId="3A6EDC62" w14:textId="77777777" w:rsidR="00861E2F" w:rsidRPr="004C3281" w:rsidRDefault="00861E2F" w:rsidP="00151FE8">
            <w:pPr>
              <w:pStyle w:val="NoSpacing"/>
            </w:pPr>
          </w:p>
        </w:tc>
        <w:tc>
          <w:tcPr>
            <w:tcW w:w="1171" w:type="dxa"/>
            <w:vMerge/>
            <w:tcBorders>
              <w:left w:val="single" w:sz="4" w:space="0" w:color="auto"/>
              <w:right w:val="single" w:sz="4" w:space="0" w:color="auto"/>
            </w:tcBorders>
            <w:shd w:val="clear" w:color="auto" w:fill="E2EFD9" w:themeFill="accent6" w:themeFillTint="33"/>
          </w:tcPr>
          <w:p w14:paraId="753FFC6C" w14:textId="77777777" w:rsidR="00861E2F" w:rsidRPr="004C3281" w:rsidRDefault="00861E2F" w:rsidP="00151FE8">
            <w:pPr>
              <w:pStyle w:val="NoSpacing"/>
            </w:pPr>
          </w:p>
        </w:tc>
        <w:tc>
          <w:tcPr>
            <w:tcW w:w="2858" w:type="dxa"/>
            <w:vMerge/>
            <w:tcBorders>
              <w:left w:val="single" w:sz="4" w:space="0" w:color="auto"/>
              <w:right w:val="single" w:sz="4" w:space="0" w:color="auto"/>
            </w:tcBorders>
            <w:shd w:val="clear" w:color="auto" w:fill="E2EFD9" w:themeFill="accent6" w:themeFillTint="33"/>
          </w:tcPr>
          <w:p w14:paraId="4A097BCF" w14:textId="60B75B8C" w:rsidR="00861E2F" w:rsidRPr="004C3281" w:rsidRDefault="00861E2F" w:rsidP="00151FE8">
            <w:pPr>
              <w:pStyle w:val="NoSpacing"/>
            </w:pPr>
          </w:p>
        </w:tc>
      </w:tr>
    </w:tbl>
    <w:p w14:paraId="046B1F61" w14:textId="1C9F7800" w:rsidR="00DC6894" w:rsidRDefault="00DC6894" w:rsidP="00151FE8">
      <w:pPr>
        <w:pStyle w:val="NoSpacing"/>
      </w:pPr>
    </w:p>
    <w:p w14:paraId="0600AEDE" w14:textId="77777777" w:rsidR="000D7C0B" w:rsidRDefault="000D7C0B" w:rsidP="00151FE8">
      <w:pPr>
        <w:pStyle w:val="NoSpacing"/>
        <w:rPr>
          <w:b/>
          <w:bCs/>
        </w:rPr>
      </w:pPr>
    </w:p>
    <w:p w14:paraId="12E5F6C6" w14:textId="19F5CE86" w:rsidR="00BC0E1F" w:rsidRPr="00BC0E1F" w:rsidRDefault="00BC0E1F" w:rsidP="00151FE8">
      <w:pPr>
        <w:pStyle w:val="NoSpacing"/>
        <w:rPr>
          <w:b/>
          <w:bCs/>
        </w:rPr>
      </w:pPr>
      <w:r w:rsidRPr="00BC0E1F">
        <w:rPr>
          <w:b/>
          <w:bCs/>
        </w:rPr>
        <w:t>Next Steps:</w:t>
      </w:r>
    </w:p>
    <w:p w14:paraId="6E02EB34" w14:textId="5ED0D933" w:rsidR="00BC0E1F" w:rsidRDefault="00E734D1" w:rsidP="0074243B">
      <w:pPr>
        <w:pStyle w:val="NoSpacing"/>
        <w:numPr>
          <w:ilvl w:val="0"/>
          <w:numId w:val="17"/>
        </w:numPr>
        <w:rPr>
          <w:bCs/>
        </w:rPr>
      </w:pPr>
      <w:r>
        <w:rPr>
          <w:bCs/>
        </w:rPr>
        <w:t>Request</w:t>
      </w:r>
      <w:r w:rsidR="006D0210">
        <w:rPr>
          <w:bCs/>
        </w:rPr>
        <w:t xml:space="preserve"> Board </w:t>
      </w:r>
      <w:proofErr w:type="gramStart"/>
      <w:r w:rsidR="006D0210">
        <w:rPr>
          <w:bCs/>
        </w:rPr>
        <w:t>feedback</w:t>
      </w:r>
      <w:r>
        <w:rPr>
          <w:bCs/>
        </w:rPr>
        <w:t xml:space="preserve"> </w:t>
      </w:r>
      <w:r w:rsidR="00BC0E1F">
        <w:rPr>
          <w:bCs/>
        </w:rPr>
        <w:t xml:space="preserve"> –</w:t>
      </w:r>
      <w:proofErr w:type="gramEnd"/>
      <w:r w:rsidR="00BC0E1F">
        <w:rPr>
          <w:bCs/>
        </w:rPr>
        <w:t xml:space="preserve"> October, 2020</w:t>
      </w:r>
    </w:p>
    <w:p w14:paraId="37CA7D79" w14:textId="77777777" w:rsidR="00626315" w:rsidRDefault="006D0210" w:rsidP="0074243B">
      <w:pPr>
        <w:pStyle w:val="NoSpacing"/>
        <w:numPr>
          <w:ilvl w:val="0"/>
          <w:numId w:val="17"/>
        </w:numPr>
        <w:rPr>
          <w:bCs/>
        </w:rPr>
      </w:pPr>
      <w:r>
        <w:rPr>
          <w:bCs/>
        </w:rPr>
        <w:t>Continue to review financial scenarios and</w:t>
      </w:r>
      <w:r w:rsidR="00626315">
        <w:rPr>
          <w:bCs/>
        </w:rPr>
        <w:t xml:space="preserve"> costs of modifying technology</w:t>
      </w:r>
      <w:r>
        <w:rPr>
          <w:bCs/>
        </w:rPr>
        <w:t xml:space="preserve"> – Winter, 2020</w:t>
      </w:r>
    </w:p>
    <w:p w14:paraId="0DCA539D" w14:textId="36494AC7" w:rsidR="004B675F" w:rsidRDefault="00626315" w:rsidP="0074243B">
      <w:pPr>
        <w:pStyle w:val="NoSpacing"/>
        <w:numPr>
          <w:ilvl w:val="0"/>
          <w:numId w:val="17"/>
        </w:numPr>
        <w:rPr>
          <w:bCs/>
        </w:rPr>
      </w:pPr>
      <w:r>
        <w:rPr>
          <w:bCs/>
        </w:rPr>
        <w:t>Conduct a p</w:t>
      </w:r>
      <w:r w:rsidR="00BC0E1F">
        <w:rPr>
          <w:bCs/>
        </w:rPr>
        <w:t xml:space="preserve">ilot </w:t>
      </w:r>
      <w:r w:rsidR="006D0210">
        <w:rPr>
          <w:bCs/>
        </w:rPr>
        <w:t xml:space="preserve">recruitment </w:t>
      </w:r>
      <w:r w:rsidR="00BC0E1F">
        <w:rPr>
          <w:bCs/>
        </w:rPr>
        <w:t>test in Spring/Summer, 2021</w:t>
      </w:r>
    </w:p>
    <w:p w14:paraId="3CB5105A" w14:textId="4DCE9E06" w:rsidR="0074243B" w:rsidRDefault="00BC0E1F" w:rsidP="0074243B">
      <w:pPr>
        <w:pStyle w:val="NoSpacing"/>
        <w:numPr>
          <w:ilvl w:val="0"/>
          <w:numId w:val="17"/>
        </w:numPr>
        <w:rPr>
          <w:bCs/>
        </w:rPr>
      </w:pPr>
      <w:r>
        <w:rPr>
          <w:bCs/>
        </w:rPr>
        <w:t>Formalize recommendation from Membership Committee– Fall, 2021</w:t>
      </w:r>
    </w:p>
    <w:p w14:paraId="0A913B27" w14:textId="77777777" w:rsidR="0074243B" w:rsidRDefault="0074243B">
      <w:pPr>
        <w:spacing w:after="160" w:line="259" w:lineRule="auto"/>
        <w:rPr>
          <w:rFonts w:asciiTheme="minorHAnsi" w:eastAsiaTheme="minorHAnsi" w:hAnsiTheme="minorHAnsi" w:cstheme="minorBidi"/>
          <w:bCs/>
          <w:sz w:val="22"/>
          <w:szCs w:val="22"/>
        </w:rPr>
      </w:pPr>
      <w:r>
        <w:rPr>
          <w:bCs/>
        </w:rPr>
        <w:br w:type="page"/>
      </w:r>
    </w:p>
    <w:p w14:paraId="392B50FC" w14:textId="4E2A3186" w:rsidR="00BC0E1F" w:rsidRPr="0042558D" w:rsidRDefault="0074243B" w:rsidP="0074243B">
      <w:pPr>
        <w:pStyle w:val="NoSpacing"/>
        <w:rPr>
          <w:b/>
          <w:sz w:val="32"/>
          <w:szCs w:val="32"/>
        </w:rPr>
      </w:pPr>
      <w:r w:rsidRPr="0042558D">
        <w:rPr>
          <w:b/>
          <w:sz w:val="32"/>
          <w:szCs w:val="32"/>
        </w:rPr>
        <w:lastRenderedPageBreak/>
        <w:t>ALA Connect Dashboard</w:t>
      </w:r>
    </w:p>
    <w:p w14:paraId="3C02233B" w14:textId="7952D0A2" w:rsidR="0074243B" w:rsidRDefault="0074243B" w:rsidP="0074243B">
      <w:pPr>
        <w:pStyle w:val="NoSpacing"/>
        <w:rPr>
          <w:b/>
        </w:rPr>
      </w:pPr>
    </w:p>
    <w:p w14:paraId="791AC85D" w14:textId="3C91B948" w:rsidR="0074243B" w:rsidRDefault="0042558D" w:rsidP="0074243B">
      <w:pPr>
        <w:pStyle w:val="NoSpacing"/>
        <w:rPr>
          <w:bCs/>
        </w:rPr>
      </w:pPr>
      <w:r>
        <w:rPr>
          <w:bCs/>
        </w:rPr>
        <w:t>ALA Connect is a key member benefit and as more communities transfer onto Connect, we are monitoring key metrics to ensure that this remains a relevant and useful tool for our members. Here is a snapshot of some of the data we are monitoring</w:t>
      </w:r>
      <w:r w:rsidR="00E92233">
        <w:rPr>
          <w:bCs/>
        </w:rPr>
        <w:t xml:space="preserve"> which all reflects an upward trend in usage and engagement</w:t>
      </w:r>
      <w:r>
        <w:rPr>
          <w:bCs/>
        </w:rPr>
        <w:t>.</w:t>
      </w:r>
    </w:p>
    <w:p w14:paraId="634ED893" w14:textId="62D75B0A" w:rsidR="0042558D" w:rsidRDefault="0042558D" w:rsidP="0074243B">
      <w:pPr>
        <w:pStyle w:val="NoSpacing"/>
        <w:rPr>
          <w:bCs/>
        </w:rPr>
      </w:pPr>
    </w:p>
    <w:p w14:paraId="296EE679" w14:textId="3EE78825" w:rsidR="0042558D" w:rsidRPr="0042558D" w:rsidRDefault="0042558D" w:rsidP="0074243B">
      <w:pPr>
        <w:pStyle w:val="NoSpacing"/>
        <w:rPr>
          <w:b/>
        </w:rPr>
      </w:pPr>
      <w:r w:rsidRPr="0042558D">
        <w:rPr>
          <w:b/>
        </w:rPr>
        <w:t>Key Performance Indicator: Logins to the Web site</w:t>
      </w:r>
    </w:p>
    <w:p w14:paraId="28962BA3" w14:textId="2414C370" w:rsidR="0042558D" w:rsidRDefault="0042558D" w:rsidP="0074243B">
      <w:pPr>
        <w:pStyle w:val="NoSpacing"/>
        <w:rPr>
          <w:bCs/>
        </w:rPr>
      </w:pPr>
    </w:p>
    <w:p w14:paraId="4B9A7482" w14:textId="5B51303B" w:rsidR="0042558D" w:rsidRDefault="0042558D" w:rsidP="0074243B">
      <w:pPr>
        <w:pStyle w:val="NoSpacing"/>
        <w:rPr>
          <w:bCs/>
        </w:rPr>
      </w:pPr>
      <w:r>
        <w:rPr>
          <w:noProof/>
        </w:rPr>
        <w:drawing>
          <wp:inline distT="0" distB="0" distL="0" distR="0" wp14:anchorId="5E9AAA43" wp14:editId="64A9511C">
            <wp:extent cx="342900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429000" cy="1733550"/>
                    </a:xfrm>
                    <a:prstGeom prst="rect">
                      <a:avLst/>
                    </a:prstGeom>
                    <a:noFill/>
                    <a:ln>
                      <a:noFill/>
                    </a:ln>
                  </pic:spPr>
                </pic:pic>
              </a:graphicData>
            </a:graphic>
          </wp:inline>
        </w:drawing>
      </w:r>
    </w:p>
    <w:p w14:paraId="54B437AD" w14:textId="5A622E2D" w:rsidR="0042558D" w:rsidRDefault="0042558D" w:rsidP="0074243B">
      <w:pPr>
        <w:pStyle w:val="NoSpacing"/>
        <w:rPr>
          <w:bCs/>
        </w:rPr>
      </w:pPr>
    </w:p>
    <w:p w14:paraId="1E49270E" w14:textId="77777777" w:rsidR="0042558D" w:rsidRDefault="0042558D" w:rsidP="0074243B">
      <w:pPr>
        <w:pStyle w:val="NoSpacing"/>
        <w:rPr>
          <w:bCs/>
        </w:rPr>
      </w:pPr>
      <w:r w:rsidRPr="0042558D">
        <w:rPr>
          <w:b/>
        </w:rPr>
        <w:t>Key Performance Indicator: Engagement</w:t>
      </w:r>
    </w:p>
    <w:p w14:paraId="03924FD7" w14:textId="7B9BAD02" w:rsidR="0042558D" w:rsidRDefault="0042558D" w:rsidP="0074243B">
      <w:pPr>
        <w:pStyle w:val="NoSpacing"/>
        <w:rPr>
          <w:bCs/>
        </w:rPr>
      </w:pPr>
      <w:r>
        <w:rPr>
          <w:bCs/>
        </w:rPr>
        <w:t>Posting in the “all member” communities (this chart excludes divisions and round table communities which are being monitored at the community level)</w:t>
      </w:r>
    </w:p>
    <w:p w14:paraId="16BB635E" w14:textId="77777777" w:rsidR="0042558D" w:rsidRDefault="0042558D" w:rsidP="0074243B">
      <w:pPr>
        <w:pStyle w:val="NoSpacing"/>
        <w:rPr>
          <w:bCs/>
        </w:rPr>
      </w:pPr>
    </w:p>
    <w:p w14:paraId="16AC74D6" w14:textId="463AFE0F" w:rsidR="0042558D" w:rsidRDefault="0042558D" w:rsidP="0074243B">
      <w:pPr>
        <w:pStyle w:val="NoSpacing"/>
        <w:rPr>
          <w:bCs/>
        </w:rPr>
      </w:pPr>
      <w:r>
        <w:rPr>
          <w:noProof/>
        </w:rPr>
        <w:drawing>
          <wp:inline distT="0" distB="0" distL="0" distR="0" wp14:anchorId="687C2C0E" wp14:editId="08706253">
            <wp:extent cx="6667500" cy="394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667500" cy="3943350"/>
                    </a:xfrm>
                    <a:prstGeom prst="rect">
                      <a:avLst/>
                    </a:prstGeom>
                    <a:noFill/>
                    <a:ln>
                      <a:noFill/>
                    </a:ln>
                  </pic:spPr>
                </pic:pic>
              </a:graphicData>
            </a:graphic>
          </wp:inline>
        </w:drawing>
      </w:r>
    </w:p>
    <w:p w14:paraId="6031632F" w14:textId="5CE59F4C" w:rsidR="0042558D" w:rsidRDefault="0042558D" w:rsidP="0074243B">
      <w:pPr>
        <w:pStyle w:val="NoSpacing"/>
        <w:rPr>
          <w:bCs/>
        </w:rPr>
      </w:pPr>
    </w:p>
    <w:p w14:paraId="24905A0A" w14:textId="77777777" w:rsidR="0042558D" w:rsidRDefault="0042558D">
      <w:pPr>
        <w:spacing w:after="160" w:line="259" w:lineRule="auto"/>
        <w:rPr>
          <w:rFonts w:asciiTheme="minorHAnsi" w:eastAsiaTheme="minorHAnsi" w:hAnsiTheme="minorHAnsi" w:cstheme="minorBidi"/>
          <w:bCs/>
          <w:sz w:val="22"/>
          <w:szCs w:val="22"/>
        </w:rPr>
      </w:pPr>
      <w:r>
        <w:rPr>
          <w:bCs/>
        </w:rPr>
        <w:br w:type="page"/>
      </w:r>
    </w:p>
    <w:p w14:paraId="701D1BB8" w14:textId="50DAF24C" w:rsidR="0042558D" w:rsidRDefault="0042558D" w:rsidP="0074243B">
      <w:pPr>
        <w:pStyle w:val="NoSpacing"/>
        <w:rPr>
          <w:bCs/>
        </w:rPr>
      </w:pPr>
      <w:r>
        <w:rPr>
          <w:bCs/>
        </w:rPr>
        <w:lastRenderedPageBreak/>
        <w:t>We are also looking at trending topics on the community. Here are the 10 most active topics in the last quarter</w:t>
      </w:r>
    </w:p>
    <w:p w14:paraId="7A8E1E14" w14:textId="3924E89E" w:rsidR="0042558D" w:rsidRDefault="0042558D" w:rsidP="0074243B">
      <w:pPr>
        <w:pStyle w:val="NoSpacing"/>
        <w:rPr>
          <w:bCs/>
        </w:rPr>
      </w:pPr>
    </w:p>
    <w:p w14:paraId="57FCB8E8" w14:textId="643F7983" w:rsidR="0042558D" w:rsidRPr="0074243B" w:rsidRDefault="000A7F1B" w:rsidP="0074243B">
      <w:pPr>
        <w:pStyle w:val="NoSpacing"/>
        <w:rPr>
          <w:bCs/>
        </w:rPr>
      </w:pPr>
      <w:r>
        <w:rPr>
          <w:noProof/>
        </w:rPr>
        <w:drawing>
          <wp:inline distT="0" distB="0" distL="0" distR="0" wp14:anchorId="25093FA2" wp14:editId="2C39ED59">
            <wp:extent cx="6858000" cy="44151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858000" cy="4415155"/>
                    </a:xfrm>
                    <a:prstGeom prst="rect">
                      <a:avLst/>
                    </a:prstGeom>
                    <a:noFill/>
                    <a:ln>
                      <a:noFill/>
                    </a:ln>
                  </pic:spPr>
                </pic:pic>
              </a:graphicData>
            </a:graphic>
          </wp:inline>
        </w:drawing>
      </w:r>
    </w:p>
    <w:sectPr w:rsidR="0042558D" w:rsidRPr="0074243B" w:rsidSect="00151F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20E7E"/>
    <w:multiLevelType w:val="hybridMultilevel"/>
    <w:tmpl w:val="587A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33726"/>
    <w:multiLevelType w:val="multilevel"/>
    <w:tmpl w:val="EE60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7733EE"/>
    <w:multiLevelType w:val="hybridMultilevel"/>
    <w:tmpl w:val="E3F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F77B8"/>
    <w:multiLevelType w:val="hybridMultilevel"/>
    <w:tmpl w:val="3248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81BBE"/>
    <w:multiLevelType w:val="hybridMultilevel"/>
    <w:tmpl w:val="121C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50711"/>
    <w:multiLevelType w:val="hybridMultilevel"/>
    <w:tmpl w:val="79F4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A61D3"/>
    <w:multiLevelType w:val="hybridMultilevel"/>
    <w:tmpl w:val="6174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359B9"/>
    <w:multiLevelType w:val="hybridMultilevel"/>
    <w:tmpl w:val="C08C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9967AF"/>
    <w:multiLevelType w:val="multilevel"/>
    <w:tmpl w:val="E51E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DD7451"/>
    <w:multiLevelType w:val="hybridMultilevel"/>
    <w:tmpl w:val="42BA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A12DD9"/>
    <w:multiLevelType w:val="hybridMultilevel"/>
    <w:tmpl w:val="3D624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A1562C"/>
    <w:multiLevelType w:val="hybridMultilevel"/>
    <w:tmpl w:val="3BF0D9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F02527"/>
    <w:multiLevelType w:val="hybridMultilevel"/>
    <w:tmpl w:val="0450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C0605B"/>
    <w:multiLevelType w:val="hybridMultilevel"/>
    <w:tmpl w:val="A70E6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BA3B97"/>
    <w:multiLevelType w:val="multilevel"/>
    <w:tmpl w:val="C584CE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FD7D1A"/>
    <w:multiLevelType w:val="hybridMultilevel"/>
    <w:tmpl w:val="3CC23A3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7B716B9E"/>
    <w:multiLevelType w:val="hybridMultilevel"/>
    <w:tmpl w:val="9CCA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4D127B"/>
    <w:multiLevelType w:val="hybridMultilevel"/>
    <w:tmpl w:val="6AC0D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3"/>
  </w:num>
  <w:num w:numId="4">
    <w:abstractNumId w:val="5"/>
  </w:num>
  <w:num w:numId="5">
    <w:abstractNumId w:val="10"/>
  </w:num>
  <w:num w:numId="6">
    <w:abstractNumId w:val="12"/>
  </w:num>
  <w:num w:numId="7">
    <w:abstractNumId w:val="17"/>
  </w:num>
  <w:num w:numId="8">
    <w:abstractNumId w:val="11"/>
  </w:num>
  <w:num w:numId="9">
    <w:abstractNumId w:val="9"/>
  </w:num>
  <w:num w:numId="10">
    <w:abstractNumId w:val="6"/>
  </w:num>
  <w:num w:numId="11">
    <w:abstractNumId w:val="16"/>
  </w:num>
  <w:num w:numId="12">
    <w:abstractNumId w:val="14"/>
  </w:num>
  <w:num w:numId="13">
    <w:abstractNumId w:val="1"/>
  </w:num>
  <w:num w:numId="14">
    <w:abstractNumId w:val="8"/>
  </w:num>
  <w:num w:numId="15">
    <w:abstractNumId w:val="15"/>
  </w:num>
  <w:num w:numId="16">
    <w:abstractNumId w:val="0"/>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5B9"/>
    <w:rsid w:val="0000097F"/>
    <w:rsid w:val="00012BD7"/>
    <w:rsid w:val="00024AE8"/>
    <w:rsid w:val="00046FB9"/>
    <w:rsid w:val="00080B0B"/>
    <w:rsid w:val="000A7F1B"/>
    <w:rsid w:val="000C0740"/>
    <w:rsid w:val="000D7C0B"/>
    <w:rsid w:val="00151FE8"/>
    <w:rsid w:val="00165B69"/>
    <w:rsid w:val="001D1F52"/>
    <w:rsid w:val="001F21B5"/>
    <w:rsid w:val="00236C57"/>
    <w:rsid w:val="00256E66"/>
    <w:rsid w:val="00267793"/>
    <w:rsid w:val="00292939"/>
    <w:rsid w:val="002A6E71"/>
    <w:rsid w:val="002D4C4A"/>
    <w:rsid w:val="002E605E"/>
    <w:rsid w:val="002F4BF4"/>
    <w:rsid w:val="002F5EA6"/>
    <w:rsid w:val="00346575"/>
    <w:rsid w:val="00357A84"/>
    <w:rsid w:val="003A54AE"/>
    <w:rsid w:val="004162F5"/>
    <w:rsid w:val="00416F28"/>
    <w:rsid w:val="00417C92"/>
    <w:rsid w:val="0042558D"/>
    <w:rsid w:val="00464C1C"/>
    <w:rsid w:val="004A707C"/>
    <w:rsid w:val="004B675F"/>
    <w:rsid w:val="004D28C7"/>
    <w:rsid w:val="0050422A"/>
    <w:rsid w:val="00527D26"/>
    <w:rsid w:val="00551F66"/>
    <w:rsid w:val="0056107E"/>
    <w:rsid w:val="00563E68"/>
    <w:rsid w:val="0060282A"/>
    <w:rsid w:val="00610AA9"/>
    <w:rsid w:val="006227D0"/>
    <w:rsid w:val="00626315"/>
    <w:rsid w:val="006738D5"/>
    <w:rsid w:val="006B2955"/>
    <w:rsid w:val="006C3719"/>
    <w:rsid w:val="006D0210"/>
    <w:rsid w:val="006F6D69"/>
    <w:rsid w:val="00721B48"/>
    <w:rsid w:val="0074243B"/>
    <w:rsid w:val="007E1463"/>
    <w:rsid w:val="007F59D8"/>
    <w:rsid w:val="008040CD"/>
    <w:rsid w:val="00861E2F"/>
    <w:rsid w:val="00877597"/>
    <w:rsid w:val="008B4D28"/>
    <w:rsid w:val="008F559E"/>
    <w:rsid w:val="00901247"/>
    <w:rsid w:val="0094265B"/>
    <w:rsid w:val="009B053A"/>
    <w:rsid w:val="009B21E7"/>
    <w:rsid w:val="009F4A34"/>
    <w:rsid w:val="00AD460D"/>
    <w:rsid w:val="00AF2749"/>
    <w:rsid w:val="00B52395"/>
    <w:rsid w:val="00B60D5A"/>
    <w:rsid w:val="00B67B86"/>
    <w:rsid w:val="00BA1533"/>
    <w:rsid w:val="00BC0E1F"/>
    <w:rsid w:val="00BE1A2E"/>
    <w:rsid w:val="00BF35B9"/>
    <w:rsid w:val="00C23574"/>
    <w:rsid w:val="00C2676F"/>
    <w:rsid w:val="00C2763D"/>
    <w:rsid w:val="00C44037"/>
    <w:rsid w:val="00CC05D9"/>
    <w:rsid w:val="00CD23A1"/>
    <w:rsid w:val="00CF22BB"/>
    <w:rsid w:val="00D616CA"/>
    <w:rsid w:val="00D93EBC"/>
    <w:rsid w:val="00DC6894"/>
    <w:rsid w:val="00E0407F"/>
    <w:rsid w:val="00E368EA"/>
    <w:rsid w:val="00E37EB6"/>
    <w:rsid w:val="00E72DC1"/>
    <w:rsid w:val="00E734D1"/>
    <w:rsid w:val="00E92233"/>
    <w:rsid w:val="00ED3753"/>
    <w:rsid w:val="00F411B0"/>
    <w:rsid w:val="00F52DED"/>
    <w:rsid w:val="00F548FB"/>
    <w:rsid w:val="00F621D8"/>
    <w:rsid w:val="00FC3522"/>
    <w:rsid w:val="00FE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A6997"/>
  <w15:chartTrackingRefBased/>
  <w15:docId w15:val="{6A6BE578-DA9D-4241-BB8F-51D06FCD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FE8"/>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4162F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151FE8"/>
    <w:pPr>
      <w:keepNext/>
      <w:keepLines/>
      <w:spacing w:before="4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F35B9"/>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F35B9"/>
    <w:pPr>
      <w:spacing w:after="0" w:line="240" w:lineRule="auto"/>
    </w:pPr>
  </w:style>
  <w:style w:type="paragraph" w:styleId="BalloonText">
    <w:name w:val="Balloon Text"/>
    <w:basedOn w:val="Normal"/>
    <w:link w:val="BalloonTextChar"/>
    <w:uiPriority w:val="99"/>
    <w:semiHidden/>
    <w:unhideWhenUsed/>
    <w:rsid w:val="00BF35B9"/>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F35B9"/>
    <w:rPr>
      <w:rFonts w:ascii="Segoe UI" w:hAnsi="Segoe UI" w:cs="Segoe UI"/>
      <w:sz w:val="18"/>
      <w:szCs w:val="18"/>
    </w:rPr>
  </w:style>
  <w:style w:type="table" w:styleId="TableGrid">
    <w:name w:val="Table Grid"/>
    <w:basedOn w:val="TableNormal"/>
    <w:uiPriority w:val="59"/>
    <w:rsid w:val="00BF35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BF35B9"/>
  </w:style>
  <w:style w:type="character" w:styleId="CommentReference">
    <w:name w:val="annotation reference"/>
    <w:basedOn w:val="DefaultParagraphFont"/>
    <w:uiPriority w:val="99"/>
    <w:semiHidden/>
    <w:unhideWhenUsed/>
    <w:rsid w:val="00BF35B9"/>
    <w:rPr>
      <w:sz w:val="16"/>
      <w:szCs w:val="16"/>
    </w:rPr>
  </w:style>
  <w:style w:type="paragraph" w:styleId="CommentText">
    <w:name w:val="annotation text"/>
    <w:basedOn w:val="Normal"/>
    <w:link w:val="CommentTextChar"/>
    <w:uiPriority w:val="99"/>
    <w:semiHidden/>
    <w:unhideWhenUsed/>
    <w:rsid w:val="00BF35B9"/>
  </w:style>
  <w:style w:type="character" w:customStyle="1" w:styleId="CommentTextChar">
    <w:name w:val="Comment Text Char"/>
    <w:basedOn w:val="DefaultParagraphFont"/>
    <w:link w:val="CommentText"/>
    <w:uiPriority w:val="99"/>
    <w:semiHidden/>
    <w:rsid w:val="00BF35B9"/>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4162F5"/>
    <w:rPr>
      <w:rFonts w:ascii="Times New Roman" w:eastAsia="Times New Roman" w:hAnsi="Times New Roman" w:cs="Times New Roman"/>
      <w:b/>
      <w:bCs/>
      <w:sz w:val="36"/>
      <w:szCs w:val="36"/>
    </w:rPr>
  </w:style>
  <w:style w:type="character" w:styleId="Strong">
    <w:name w:val="Strong"/>
    <w:basedOn w:val="DefaultParagraphFont"/>
    <w:uiPriority w:val="22"/>
    <w:qFormat/>
    <w:rsid w:val="004162F5"/>
    <w:rPr>
      <w:b/>
      <w:bCs/>
    </w:rPr>
  </w:style>
  <w:style w:type="character" w:styleId="Emphasis">
    <w:name w:val="Emphasis"/>
    <w:basedOn w:val="DefaultParagraphFont"/>
    <w:uiPriority w:val="20"/>
    <w:qFormat/>
    <w:rsid w:val="004162F5"/>
    <w:rPr>
      <w:i/>
      <w:iCs/>
    </w:rPr>
  </w:style>
  <w:style w:type="character" w:styleId="Hyperlink">
    <w:name w:val="Hyperlink"/>
    <w:basedOn w:val="DefaultParagraphFont"/>
    <w:uiPriority w:val="99"/>
    <w:unhideWhenUsed/>
    <w:rsid w:val="004162F5"/>
    <w:rPr>
      <w:color w:val="0000FF"/>
      <w:u w:val="single"/>
    </w:rPr>
  </w:style>
  <w:style w:type="paragraph" w:styleId="CommentSubject">
    <w:name w:val="annotation subject"/>
    <w:basedOn w:val="CommentText"/>
    <w:next w:val="CommentText"/>
    <w:link w:val="CommentSubjectChar"/>
    <w:uiPriority w:val="99"/>
    <w:semiHidden/>
    <w:unhideWhenUsed/>
    <w:rsid w:val="000C074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C0740"/>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151FE8"/>
    <w:rPr>
      <w:rFonts w:asciiTheme="majorHAnsi" w:eastAsiaTheme="majorEastAsia" w:hAnsiTheme="majorHAnsi" w:cstheme="majorBidi"/>
      <w:color w:val="1F3763" w:themeColor="accent1" w:themeShade="7F"/>
      <w:sz w:val="24"/>
      <w:szCs w:val="24"/>
    </w:rPr>
  </w:style>
  <w:style w:type="paragraph" w:styleId="BodyTextIndent">
    <w:name w:val="Body Text Indent"/>
    <w:basedOn w:val="Normal"/>
    <w:link w:val="BodyTextIndentChar"/>
    <w:rsid w:val="00151FE8"/>
    <w:pPr>
      <w:ind w:left="2160" w:hanging="720"/>
    </w:pPr>
    <w:rPr>
      <w:i/>
      <w:sz w:val="24"/>
    </w:rPr>
  </w:style>
  <w:style w:type="character" w:customStyle="1" w:styleId="BodyTextIndentChar">
    <w:name w:val="Body Text Indent Char"/>
    <w:basedOn w:val="DefaultParagraphFont"/>
    <w:link w:val="BodyTextIndent"/>
    <w:rsid w:val="00151FE8"/>
    <w:rPr>
      <w:rFonts w:ascii="Times New Roman" w:eastAsia="Times New Roman" w:hAnsi="Times New Roman" w:cs="Times New Roman"/>
      <w:i/>
      <w:sz w:val="24"/>
      <w:szCs w:val="20"/>
    </w:rPr>
  </w:style>
  <w:style w:type="character" w:styleId="UnresolvedMention">
    <w:name w:val="Unresolved Mention"/>
    <w:basedOn w:val="DefaultParagraphFont"/>
    <w:uiPriority w:val="99"/>
    <w:semiHidden/>
    <w:unhideWhenUsed/>
    <w:rsid w:val="00E04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91019">
      <w:bodyDiv w:val="1"/>
      <w:marLeft w:val="0"/>
      <w:marRight w:val="0"/>
      <w:marTop w:val="0"/>
      <w:marBottom w:val="0"/>
      <w:divBdr>
        <w:top w:val="none" w:sz="0" w:space="0" w:color="auto"/>
        <w:left w:val="none" w:sz="0" w:space="0" w:color="auto"/>
        <w:bottom w:val="none" w:sz="0" w:space="0" w:color="auto"/>
        <w:right w:val="none" w:sz="0" w:space="0" w:color="auto"/>
      </w:divBdr>
    </w:div>
    <w:div w:id="85314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3.png@01D69C8C.73342500" TargetMode="External"/><Relationship Id="rId3" Type="http://schemas.openxmlformats.org/officeDocument/2006/relationships/styles" Target="styles.xml"/><Relationship Id="rId7" Type="http://schemas.openxmlformats.org/officeDocument/2006/relationships/hyperlink" Target="http://www.ala.org/aboutala/sites/ala.org.aboutala/files/content/ebd12_12_ALA_survey_results_AvenueM_presentation.pdf"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a.org/aboutala/sites/ala.org.aboutala/files/content/governance/ExecutiveBoard/20192020Docs/ebd%2012.20%20Fall%202019%20Board%20Membership%20Presentation.pdf" TargetMode="External"/><Relationship Id="rId11" Type="http://schemas.openxmlformats.org/officeDocument/2006/relationships/image" Target="cid:image001.png@01D69670.9E1C32C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7.png@01D6966F.B9EA13B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CD277-175C-4B09-8E12-ED09E17D8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Walling</dc:creator>
  <cp:keywords/>
  <dc:description/>
  <cp:lastModifiedBy>Sheryl Reyes</cp:lastModifiedBy>
  <cp:revision>2</cp:revision>
  <dcterms:created xsi:type="dcterms:W3CDTF">2020-10-23T18:04:00Z</dcterms:created>
  <dcterms:modified xsi:type="dcterms:W3CDTF">2020-10-23T18:04:00Z</dcterms:modified>
</cp:coreProperties>
</file>